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B4BC" w14:textId="023F6630" w:rsidR="008E0958" w:rsidRDefault="008E0958" w:rsidP="008E0958">
      <w:pPr>
        <w:pStyle w:val="Textbody"/>
        <w:spacing w:after="0"/>
        <w:jc w:val="center"/>
        <w:rPr>
          <w:rFonts w:hint="eastAsia"/>
        </w:rPr>
      </w:pPr>
      <w:r w:rsidRPr="008E0958">
        <w:rPr>
          <w:b/>
          <w:bCs/>
        </w:rPr>
        <w:t>ANNEXE 5 : Méthodologie de réalisation d’une analyse de compatibilité</w:t>
      </w:r>
      <w:r w:rsidRPr="008E0958">
        <w:rPr>
          <w:b/>
          <w:bCs/>
        </w:rPr>
        <w:br/>
      </w:r>
      <w:bookmarkStart w:id="0" w:name="_Hlk190443280"/>
      <w:r w:rsidR="00385B08" w:rsidRPr="00BF64D8">
        <w:rPr>
          <w:b/>
          <w:i/>
          <w:iCs/>
          <w:sz w:val="20"/>
          <w:szCs w:val="20"/>
        </w:rPr>
        <w:t xml:space="preserve">Annexe </w:t>
      </w:r>
      <w:r w:rsidR="00385B08">
        <w:rPr>
          <w:i/>
          <w:iCs/>
          <w:sz w:val="20"/>
        </w:rPr>
        <w:t>5</w:t>
      </w:r>
      <w:r w:rsidR="00385B08" w:rsidRPr="00BF64D8">
        <w:rPr>
          <w:b/>
          <w:i/>
          <w:iCs/>
          <w:sz w:val="20"/>
          <w:szCs w:val="20"/>
        </w:rPr>
        <w:t xml:space="preserve"> à l’arrêté du 5 mars 2014 modifié définissant les modalités d’application du chapitre V du titre V du livre V</w:t>
      </w:r>
      <w:r w:rsidR="00385B08" w:rsidRPr="00BF64D8">
        <w:rPr>
          <w:b/>
          <w:i/>
          <w:iCs/>
          <w:sz w:val="20"/>
          <w:szCs w:val="20"/>
        </w:rPr>
        <w:br/>
        <w:t>du code de l’environnement et portant règlement de la sécurité des canalisations de transport de gaz naturel ou assimilé,</w:t>
      </w:r>
      <w:r w:rsidR="00385B08">
        <w:rPr>
          <w:b/>
          <w:i/>
          <w:iCs/>
          <w:sz w:val="20"/>
          <w:szCs w:val="20"/>
        </w:rPr>
        <w:br/>
      </w:r>
      <w:r w:rsidR="00385B08" w:rsidRPr="00BF64D8">
        <w:rPr>
          <w:b/>
          <w:i/>
          <w:iCs/>
          <w:sz w:val="20"/>
          <w:szCs w:val="20"/>
        </w:rPr>
        <w:t>d’hydrocarbures et de produits chimiques</w:t>
      </w:r>
      <w:bookmarkEnd w:id="0"/>
      <w:r w:rsidR="00385B08">
        <w:br/>
      </w:r>
    </w:p>
    <w:p w14:paraId="50D462B8" w14:textId="77777777" w:rsidR="008E0958" w:rsidRDefault="008E0958" w:rsidP="008E0958">
      <w:pPr>
        <w:pStyle w:val="Standard"/>
        <w:rPr>
          <w:rFonts w:hint="eastAsia"/>
        </w:rPr>
      </w:pPr>
    </w:p>
    <w:p w14:paraId="7EDBFF30" w14:textId="77777777" w:rsidR="008E0958" w:rsidRDefault="008E0958" w:rsidP="008E0958">
      <w:pPr>
        <w:pStyle w:val="Standard"/>
        <w:rPr>
          <w:rFonts w:hint="eastAsia"/>
        </w:rPr>
        <w:sectPr w:rsidR="008E0958" w:rsidSect="009D6E70">
          <w:footerReference w:type="default" r:id="rId7"/>
          <w:pgSz w:w="11906" w:h="16838"/>
          <w:pgMar w:top="284" w:right="849" w:bottom="1418" w:left="709" w:header="720" w:footer="448" w:gutter="0"/>
          <w:cols w:space="720"/>
        </w:sectPr>
      </w:pPr>
    </w:p>
    <w:p w14:paraId="01B62191" w14:textId="77777777" w:rsidR="00061A5F" w:rsidRPr="00EF3A10" w:rsidRDefault="00000000">
      <w:pPr>
        <w:pStyle w:val="Textbody"/>
        <w:spacing w:after="0"/>
        <w:jc w:val="center"/>
        <w:rPr>
          <w:rFonts w:hint="eastAsia"/>
          <w:b/>
          <w:bCs/>
        </w:rPr>
      </w:pPr>
      <w:r w:rsidRPr="00EF3A10">
        <w:rPr>
          <w:b/>
          <w:bCs/>
        </w:rPr>
        <w:lastRenderedPageBreak/>
        <w:t>Dossier récapitulatif de l’analyse de compatibilité avec une canalisation de transport</w:t>
      </w:r>
    </w:p>
    <w:p w14:paraId="4332684E" w14:textId="77777777" w:rsidR="00061A5F" w:rsidRPr="00EF3A10" w:rsidRDefault="00000000">
      <w:pPr>
        <w:pStyle w:val="Textbody"/>
        <w:spacing w:after="0"/>
        <w:jc w:val="center"/>
        <w:rPr>
          <w:rFonts w:hint="eastAsia"/>
          <w:b/>
          <w:bCs/>
        </w:rPr>
      </w:pPr>
      <w:proofErr w:type="gramStart"/>
      <w:r w:rsidRPr="00EF3A10">
        <w:rPr>
          <w:b/>
          <w:bCs/>
        </w:rPr>
        <w:t>d’un</w:t>
      </w:r>
      <w:proofErr w:type="gramEnd"/>
      <w:r w:rsidRPr="00EF3A10">
        <w:rPr>
          <w:b/>
          <w:bCs/>
        </w:rPr>
        <w:t xml:space="preserve"> projet d’établissement recevant du public (ERP) ou</w:t>
      </w:r>
    </w:p>
    <w:p w14:paraId="7FD84DC1" w14:textId="77777777" w:rsidR="00061A5F" w:rsidRPr="00EF3A10" w:rsidRDefault="00000000">
      <w:pPr>
        <w:pStyle w:val="Textbody"/>
        <w:spacing w:after="0"/>
        <w:jc w:val="center"/>
        <w:rPr>
          <w:rFonts w:hint="eastAsia"/>
          <w:b/>
          <w:bCs/>
        </w:rPr>
      </w:pPr>
      <w:proofErr w:type="gramStart"/>
      <w:r w:rsidRPr="00EF3A10">
        <w:rPr>
          <w:b/>
          <w:bCs/>
        </w:rPr>
        <w:t>d’un</w:t>
      </w:r>
      <w:proofErr w:type="gramEnd"/>
      <w:r w:rsidRPr="00EF3A10">
        <w:rPr>
          <w:b/>
          <w:bCs/>
        </w:rPr>
        <w:t xml:space="preserve"> projet d’immeuble de grande hauteur (IGH)</w:t>
      </w:r>
    </w:p>
    <w:p w14:paraId="282BD8A8" w14:textId="77777777" w:rsidR="00061A5F" w:rsidRDefault="00061A5F">
      <w:pPr>
        <w:pStyle w:val="Titre4"/>
      </w:pPr>
    </w:p>
    <w:p w14:paraId="35235C1B" w14:textId="77777777" w:rsidR="00061A5F" w:rsidRDefault="00000000">
      <w:pPr>
        <w:pStyle w:val="Titre4"/>
        <w:rPr>
          <w:sz w:val="28"/>
        </w:rPr>
      </w:pPr>
      <w:r>
        <w:rPr>
          <w:sz w:val="28"/>
        </w:rPr>
        <w:t>Analyse de compatibilité</w:t>
      </w:r>
    </w:p>
    <w:p w14:paraId="28913EB1" w14:textId="77777777" w:rsidR="00061A5F" w:rsidRDefault="00061A5F">
      <w:pPr>
        <w:pStyle w:val="Standard"/>
        <w:rPr>
          <w:rFonts w:ascii="Liberation Sans" w:hAnsi="Liberation Sans" w:cs="Liberation Sans" w:hint="eastAsia"/>
          <w:b/>
          <w:bCs/>
          <w:color w:val="000000"/>
        </w:rPr>
      </w:pPr>
    </w:p>
    <w:p w14:paraId="671EDFB2" w14:textId="77777777" w:rsidR="00061A5F" w:rsidRDefault="00000000">
      <w:pPr>
        <w:pStyle w:val="Standard"/>
        <w:rPr>
          <w:rFonts w:ascii="Liberation Sans" w:hAnsi="Liberation Sans" w:cs="Liberation Sans" w:hint="eastAsia"/>
          <w:b/>
          <w:bCs/>
          <w:i/>
          <w:iCs/>
          <w:u w:val="single"/>
        </w:rPr>
      </w:pPr>
      <w:r>
        <w:rPr>
          <w:rFonts w:ascii="Liberation Sans" w:hAnsi="Liberation Sans" w:cs="Liberation Sans"/>
          <w:b/>
          <w:bCs/>
          <w:i/>
          <w:iCs/>
          <w:u w:val="single"/>
        </w:rPr>
        <w:t>Résultat de l’analyse de compatibilité :</w:t>
      </w:r>
    </w:p>
    <w:p w14:paraId="26788FE0" w14:textId="77777777" w:rsidR="00061A5F" w:rsidRDefault="00061A5F">
      <w:pPr>
        <w:pStyle w:val="Standard"/>
        <w:rPr>
          <w:rFonts w:ascii="Liberation Sans" w:hAnsi="Liberation Sans" w:cs="Liberation Sans" w:hint="eastAsia"/>
          <w:b/>
          <w:bCs/>
          <w:sz w:val="20"/>
        </w:rPr>
      </w:pPr>
    </w:p>
    <w:p w14:paraId="7A34408A" w14:textId="77777777" w:rsidR="00061A5F" w:rsidRDefault="00000000">
      <w:pPr>
        <w:pStyle w:val="Standard"/>
        <w:rPr>
          <w:rFonts w:hint="eastAsia"/>
        </w:rPr>
      </w:pPr>
      <w:r>
        <w:rPr>
          <w:rFonts w:ascii="Liberation Sans" w:hAnsi="Liberation Sans" w:cs="Liberation Sans"/>
          <w:sz w:val="20"/>
        </w:rPr>
        <w:t>Le projet d’ERP-IGH est compatible si sont cochées les cases</w:t>
      </w:r>
      <w:r>
        <w:rPr>
          <w:rFonts w:ascii="Liberation Sans" w:hAnsi="Liberation Sans" w:cs="Liberation Sans"/>
          <w:b/>
          <w:bCs/>
          <w:sz w:val="20"/>
        </w:rPr>
        <w:t xml:space="preserve"> 4a </w:t>
      </w:r>
      <w:r>
        <w:rPr>
          <w:rFonts w:ascii="Liberation Sans" w:hAnsi="Liberation Sans" w:cs="Liberation Sans"/>
          <w:sz w:val="20"/>
        </w:rPr>
        <w:t xml:space="preserve">(avis favorable du transporteur) ou à défaut </w:t>
      </w:r>
      <w:r>
        <w:rPr>
          <w:rFonts w:ascii="Liberation Sans" w:hAnsi="Liberation Sans" w:cs="Liberation Sans"/>
          <w:b/>
          <w:bCs/>
          <w:sz w:val="20"/>
        </w:rPr>
        <w:t xml:space="preserve">6a </w:t>
      </w:r>
      <w:r>
        <w:rPr>
          <w:rFonts w:ascii="Liberation Sans" w:hAnsi="Liberation Sans" w:cs="Liberation Sans"/>
          <w:sz w:val="20"/>
        </w:rPr>
        <w:t>(avis favorable du préfet) ainsi que :</w:t>
      </w:r>
    </w:p>
    <w:p w14:paraId="419CE8DE"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(1a ou 1b ou 1c)</w:t>
      </w:r>
    </w:p>
    <w:p w14:paraId="3B9E5481" w14:textId="77777777" w:rsidR="00061A5F" w:rsidRDefault="00000000">
      <w:pPr>
        <w:pStyle w:val="Standard"/>
        <w:rPr>
          <w:rFonts w:ascii="Liberation Sans" w:hAnsi="Liberation Sans" w:cs="Liberation Sans" w:hint="eastAsia"/>
          <w:sz w:val="20"/>
        </w:rPr>
      </w:pPr>
      <w:proofErr w:type="gramStart"/>
      <w:r>
        <w:rPr>
          <w:rFonts w:ascii="Liberation Sans" w:hAnsi="Liberation Sans" w:cs="Liberation Sans"/>
          <w:sz w:val="20"/>
        </w:rPr>
        <w:t>ou</w:t>
      </w:r>
      <w:proofErr w:type="gramEnd"/>
    </w:p>
    <w:p w14:paraId="441CBA1F"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(1f) et (2b ou 2c ou 2d ou 2e)</w:t>
      </w:r>
    </w:p>
    <w:p w14:paraId="1D1D0843" w14:textId="77777777" w:rsidR="00061A5F" w:rsidRDefault="00000000">
      <w:pPr>
        <w:pStyle w:val="Standard"/>
        <w:rPr>
          <w:rFonts w:ascii="Liberation Sans" w:hAnsi="Liberation Sans" w:cs="Liberation Sans" w:hint="eastAsia"/>
          <w:sz w:val="20"/>
        </w:rPr>
      </w:pPr>
      <w:proofErr w:type="gramStart"/>
      <w:r>
        <w:rPr>
          <w:rFonts w:ascii="Liberation Sans" w:hAnsi="Liberation Sans" w:cs="Liberation Sans"/>
          <w:sz w:val="20"/>
        </w:rPr>
        <w:t>ou</w:t>
      </w:r>
      <w:proofErr w:type="gramEnd"/>
    </w:p>
    <w:p w14:paraId="7DD2B360"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(1f) et (2f) et (3)</w:t>
      </w:r>
    </w:p>
    <w:p w14:paraId="17385D31" w14:textId="77777777" w:rsidR="00061A5F" w:rsidRDefault="00061A5F">
      <w:pPr>
        <w:pStyle w:val="Standard"/>
        <w:rPr>
          <w:rFonts w:ascii="Liberation Sans" w:hAnsi="Liberation Sans" w:cs="Liberation Sans" w:hint="eastAsia"/>
          <w:sz w:val="20"/>
        </w:rPr>
      </w:pPr>
    </w:p>
    <w:p w14:paraId="685BE941"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Les autres cas sont frappés d’incompatibilité.</w:t>
      </w:r>
    </w:p>
    <w:p w14:paraId="29105541" w14:textId="77777777" w:rsidR="00061A5F" w:rsidRDefault="00061A5F">
      <w:pPr>
        <w:pStyle w:val="Standard"/>
        <w:rPr>
          <w:rFonts w:ascii="Liberation Sans" w:hAnsi="Liberation Sans" w:cs="Liberation Sans" w:hint="eastAsia"/>
          <w:sz w:val="20"/>
        </w:rPr>
      </w:pPr>
    </w:p>
    <w:p w14:paraId="72A37501" w14:textId="77777777" w:rsidR="00061A5F" w:rsidRDefault="00061A5F">
      <w:pPr>
        <w:pStyle w:val="Standard"/>
        <w:rPr>
          <w:rFonts w:ascii="Liberation Sans" w:hAnsi="Liberation Sans" w:cs="Liberation Sans" w:hint="eastAsia"/>
          <w:sz w:val="20"/>
        </w:rPr>
      </w:pPr>
    </w:p>
    <w:p w14:paraId="03CC91C4" w14:textId="77777777" w:rsidR="00061A5F" w:rsidRDefault="00000000">
      <w:pPr>
        <w:pStyle w:val="Standard"/>
        <w:rPr>
          <w:rFonts w:ascii="Liberation Sans" w:hAnsi="Liberation Sans" w:cs="Liberation Sans" w:hint="eastAsia"/>
          <w:b/>
          <w:bCs/>
          <w:i/>
          <w:iCs/>
          <w:u w:val="single"/>
        </w:rPr>
      </w:pPr>
      <w:r>
        <w:rPr>
          <w:rFonts w:ascii="Liberation Sans" w:hAnsi="Liberation Sans" w:cs="Liberation Sans"/>
          <w:b/>
          <w:bCs/>
          <w:i/>
          <w:iCs/>
          <w:u w:val="single"/>
        </w:rPr>
        <w:t>Mesures particulières de protection de la canalisation nécessitant vérification avant ouverture au public de l’ERP ou première occupation de l’IGH :</w:t>
      </w:r>
    </w:p>
    <w:p w14:paraId="5A00BCFB" w14:textId="77777777" w:rsidR="00061A5F" w:rsidRDefault="00061A5F">
      <w:pPr>
        <w:pStyle w:val="Standard"/>
        <w:rPr>
          <w:rFonts w:ascii="Liberation Sans" w:hAnsi="Liberation Sans" w:cs="Liberation Sans" w:hint="eastAsia"/>
          <w:b/>
          <w:bCs/>
          <w:sz w:val="20"/>
        </w:rPr>
      </w:pPr>
    </w:p>
    <w:p w14:paraId="695ECC89" w14:textId="77777777" w:rsidR="00061A5F" w:rsidRDefault="00000000">
      <w:pPr>
        <w:pStyle w:val="Standard"/>
        <w:rPr>
          <w:rFonts w:ascii="Liberation Sans" w:hAnsi="Liberation Sans" w:cs="Liberation Sans" w:hint="eastAsia"/>
          <w:sz w:val="20"/>
        </w:rPr>
      </w:pPr>
      <w:r>
        <w:rPr>
          <w:rFonts w:ascii="Liberation Sans" w:hAnsi="Liberation Sans" w:cs="Liberation Sans"/>
          <w:sz w:val="20"/>
        </w:rPr>
        <w:t>Dans le cas d’une analyse de compatibilité ayant reçu un avis favorable reposant sur la mise en place de mesures particulières de protection de la canalisation (cf. §2), le maire ne peut autoriser l’ouverture de l’ERP ou l’occupation de l’IGH qu’après réception d’un certificat de vérification de la mise en place effective de ces mesures de protection fourni par le transporteur concerné.</w:t>
      </w:r>
    </w:p>
    <w:p w14:paraId="74D99E6D" w14:textId="77777777" w:rsidR="00061A5F" w:rsidRDefault="00061A5F">
      <w:pPr>
        <w:pStyle w:val="Standard"/>
        <w:rPr>
          <w:rFonts w:ascii="Liberation Sans" w:hAnsi="Liberation Sans" w:cs="Liberation Sans" w:hint="eastAsia"/>
          <w:sz w:val="20"/>
        </w:rPr>
      </w:pPr>
    </w:p>
    <w:p w14:paraId="5B9FA2B3" w14:textId="77777777" w:rsidR="00061A5F" w:rsidRDefault="00061A5F">
      <w:pPr>
        <w:pStyle w:val="Standard"/>
        <w:rPr>
          <w:rFonts w:ascii="Liberation Sans" w:hAnsi="Liberation Sans" w:cs="Liberation Sans" w:hint="eastAsia"/>
          <w:sz w:val="20"/>
        </w:rPr>
      </w:pPr>
    </w:p>
    <w:p w14:paraId="16318479" w14:textId="77777777" w:rsidR="00061A5F" w:rsidRDefault="00000000">
      <w:pPr>
        <w:pStyle w:val="Standard"/>
        <w:rPr>
          <w:rFonts w:ascii="Liberation Sans" w:hAnsi="Liberation Sans" w:cs="Liberation Sans" w:hint="eastAsia"/>
          <w:b/>
          <w:bCs/>
          <w:i/>
          <w:iCs/>
          <w:u w:val="single"/>
        </w:rPr>
      </w:pPr>
      <w:r>
        <w:rPr>
          <w:rFonts w:ascii="Liberation Sans" w:hAnsi="Liberation Sans" w:cs="Liberation Sans"/>
          <w:b/>
          <w:bCs/>
          <w:i/>
          <w:iCs/>
          <w:u w:val="single"/>
        </w:rPr>
        <w:t>Mesures particulières de protection des personnes accueillies dans les bâtiments de l’ERP ou IGH :</w:t>
      </w:r>
    </w:p>
    <w:p w14:paraId="04B3C876" w14:textId="77777777" w:rsidR="00061A5F" w:rsidRDefault="00061A5F">
      <w:pPr>
        <w:pStyle w:val="Standard"/>
        <w:rPr>
          <w:rFonts w:ascii="Liberation Sans" w:hAnsi="Liberation Sans" w:cs="Liberation Sans" w:hint="eastAsia"/>
          <w:sz w:val="20"/>
        </w:rPr>
      </w:pPr>
    </w:p>
    <w:p w14:paraId="001E1AAE" w14:textId="77777777" w:rsidR="00061A5F" w:rsidRDefault="00000000">
      <w:pPr>
        <w:pStyle w:val="Standard"/>
        <w:rPr>
          <w:rFonts w:hint="eastAsia"/>
        </w:rPr>
      </w:pPr>
      <w:r>
        <w:rPr>
          <w:rFonts w:ascii="Liberation Sans" w:hAnsi="Liberation Sans" w:cs="Liberation Sans"/>
          <w:sz w:val="20"/>
        </w:rPr>
        <w:t xml:space="preserve">Dans le cas d’une analyse de compatibilité ayant reçu un avis favorable reposant sur le cochage de la rubrique </w:t>
      </w:r>
      <w:r>
        <w:rPr>
          <w:rFonts w:ascii="Liberation Sans" w:hAnsi="Liberation Sans" w:cs="Liberation Sans"/>
          <w:b/>
          <w:bCs/>
          <w:sz w:val="20"/>
        </w:rPr>
        <w:t>3</w:t>
      </w:r>
      <w:r>
        <w:rPr>
          <w:rFonts w:ascii="Liberation Sans" w:hAnsi="Liberation Sans" w:cs="Liberation Sans"/>
          <w:sz w:val="20"/>
        </w:rPr>
        <w:t>, il appartient au pétitionnaire du permis de construire de l’ERP ou IGH de rendre le contenu du dossier de demande du permis de construire conforme aux mesures particulières de protection des personnes accueillies prévues dans l’annexe 4.</w:t>
      </w:r>
    </w:p>
    <w:p w14:paraId="1DF24773" w14:textId="77777777" w:rsidR="00061A5F" w:rsidRDefault="00061A5F">
      <w:pPr>
        <w:pStyle w:val="Standard"/>
        <w:rPr>
          <w:rFonts w:ascii="Liberation Sans" w:hAnsi="Liberation Sans" w:cs="Liberation Sans" w:hint="eastAsia"/>
          <w:sz w:val="20"/>
        </w:rPr>
      </w:pPr>
    </w:p>
    <w:p w14:paraId="72ABD021" w14:textId="77777777" w:rsidR="00061A5F" w:rsidRDefault="00061A5F">
      <w:pPr>
        <w:pStyle w:val="Standard"/>
        <w:rPr>
          <w:rFonts w:ascii="Liberation Sans" w:hAnsi="Liberation Sans" w:cs="Liberation Sans" w:hint="eastAsia"/>
          <w:sz w:val="20"/>
        </w:rPr>
      </w:pPr>
    </w:p>
    <w:p w14:paraId="445C89E9" w14:textId="77777777" w:rsidR="00061A5F" w:rsidRDefault="00000000">
      <w:pPr>
        <w:pStyle w:val="Standard"/>
        <w:rPr>
          <w:rFonts w:ascii="Liberation Sans" w:hAnsi="Liberation Sans" w:cs="Liberation Sans" w:hint="eastAsia"/>
          <w:b/>
          <w:bCs/>
          <w:i/>
          <w:iCs/>
          <w:u w:val="single"/>
        </w:rPr>
      </w:pPr>
      <w:r>
        <w:rPr>
          <w:rFonts w:ascii="Liberation Sans" w:hAnsi="Liberation Sans" w:cs="Liberation Sans"/>
          <w:b/>
          <w:bCs/>
          <w:i/>
          <w:iCs/>
          <w:u w:val="single"/>
        </w:rPr>
        <w:t>Modalités de constitution du dossier :</w:t>
      </w:r>
    </w:p>
    <w:p w14:paraId="2D23764E" w14:textId="77777777" w:rsidR="00061A5F" w:rsidRDefault="00061A5F">
      <w:pPr>
        <w:pStyle w:val="Standard"/>
        <w:rPr>
          <w:rFonts w:ascii="Liberation Sans" w:hAnsi="Liberation Sans" w:cs="Liberation Sans" w:hint="eastAsia"/>
          <w:sz w:val="20"/>
        </w:rPr>
      </w:pPr>
    </w:p>
    <w:p w14:paraId="447E4CD4" w14:textId="77777777" w:rsidR="00061A5F" w:rsidRDefault="00000000">
      <w:pPr>
        <w:pStyle w:val="Standard"/>
        <w:numPr>
          <w:ilvl w:val="0"/>
          <w:numId w:val="15"/>
        </w:numPr>
        <w:jc w:val="both"/>
        <w:rPr>
          <w:rFonts w:ascii="Liberation Sans" w:hAnsi="Liberation Sans" w:cs="Liberation Sans" w:hint="eastAsia"/>
          <w:sz w:val="20"/>
        </w:rPr>
      </w:pPr>
      <w:r>
        <w:rPr>
          <w:rFonts w:ascii="Liberation Sans" w:hAnsi="Liberation Sans" w:cs="Liberation Sans"/>
          <w:sz w:val="20"/>
        </w:rPr>
        <w:t>Les §1, et le cas échéant 2 et 3, de ce dossier sont remplis par le maître d’ouvrage, puis transmis au transporteur.</w:t>
      </w:r>
    </w:p>
    <w:p w14:paraId="3C562739" w14:textId="77777777" w:rsidR="00061A5F" w:rsidRDefault="00000000">
      <w:pPr>
        <w:pStyle w:val="Standard"/>
        <w:numPr>
          <w:ilvl w:val="0"/>
          <w:numId w:val="3"/>
        </w:numPr>
        <w:jc w:val="both"/>
        <w:rPr>
          <w:rFonts w:ascii="Liberation Sans" w:hAnsi="Liberation Sans" w:cs="Liberation Sans" w:hint="eastAsia"/>
          <w:sz w:val="20"/>
        </w:rPr>
      </w:pPr>
      <w:r>
        <w:rPr>
          <w:rFonts w:ascii="Liberation Sans" w:hAnsi="Liberation Sans" w:cs="Liberation Sans"/>
          <w:sz w:val="20"/>
        </w:rPr>
        <w:t>Le §4 est rempli par le transporteur.</w:t>
      </w:r>
    </w:p>
    <w:p w14:paraId="502B971D" w14:textId="77777777" w:rsidR="00061A5F" w:rsidRDefault="00000000">
      <w:pPr>
        <w:pStyle w:val="Standard"/>
        <w:numPr>
          <w:ilvl w:val="0"/>
          <w:numId w:val="3"/>
        </w:numPr>
        <w:jc w:val="both"/>
        <w:rPr>
          <w:rFonts w:ascii="Liberation Sans" w:hAnsi="Liberation Sans" w:cs="Liberation Sans" w:hint="eastAsia"/>
          <w:sz w:val="20"/>
        </w:rPr>
      </w:pPr>
      <w:r>
        <w:rPr>
          <w:rFonts w:ascii="Liberation Sans" w:hAnsi="Liberation Sans" w:cs="Liberation Sans"/>
          <w:sz w:val="20"/>
        </w:rPr>
        <w:t>En cas d’avis défavorable du transporteur, le §5 est rempli le cas échéant par l’organisme habilité choisi par le maître d’ouvrage.</w:t>
      </w:r>
    </w:p>
    <w:p w14:paraId="33511278" w14:textId="77777777" w:rsidR="00061A5F" w:rsidRDefault="00000000">
      <w:pPr>
        <w:pStyle w:val="Standard"/>
        <w:numPr>
          <w:ilvl w:val="0"/>
          <w:numId w:val="3"/>
        </w:numPr>
        <w:jc w:val="both"/>
        <w:rPr>
          <w:rFonts w:ascii="Liberation Sans" w:hAnsi="Liberation Sans" w:cs="Liberation Sans" w:hint="eastAsia"/>
          <w:sz w:val="20"/>
        </w:rPr>
      </w:pPr>
      <w:r>
        <w:rPr>
          <w:rFonts w:ascii="Liberation Sans" w:hAnsi="Liberation Sans" w:cs="Liberation Sans"/>
          <w:sz w:val="20"/>
        </w:rPr>
        <w:t>Le §6 est rempli le cas échéant par le préfet du département concerné (ou par le DREAL, par délégation du préfet).</w:t>
      </w:r>
    </w:p>
    <w:p w14:paraId="483E64C1" w14:textId="77777777" w:rsidR="00061A5F" w:rsidRDefault="00061A5F">
      <w:pPr>
        <w:pStyle w:val="Standard"/>
        <w:rPr>
          <w:rFonts w:ascii="Liberation Sans" w:hAnsi="Liberation Sans" w:cs="Liberation Sans" w:hint="eastAsia"/>
          <w:sz w:val="20"/>
        </w:rPr>
      </w:pPr>
    </w:p>
    <w:p w14:paraId="1CAC0DD1" w14:textId="77777777" w:rsidR="00061A5F" w:rsidRDefault="00000000">
      <w:pPr>
        <w:pStyle w:val="Standard"/>
        <w:jc w:val="both"/>
        <w:rPr>
          <w:rFonts w:ascii="Liberation Sans" w:hAnsi="Liberation Sans" w:cs="Liberation Sans" w:hint="eastAsia"/>
          <w:sz w:val="20"/>
        </w:rPr>
      </w:pPr>
      <w:r>
        <w:rPr>
          <w:rFonts w:ascii="Liberation Sans" w:hAnsi="Liberation Sans" w:cs="Liberation Sans"/>
          <w:sz w:val="20"/>
        </w:rPr>
        <w:t>En amont de la constitution du dossier, le maître d’ouvrage de l’ERP-IGH a adressé une demande au transporteur concerné pour obtenir les éléments utiles de l’étude de dangers de la canalisation.</w:t>
      </w:r>
    </w:p>
    <w:p w14:paraId="0F9ACC44" w14:textId="77777777" w:rsidR="00061A5F" w:rsidRDefault="00000000">
      <w:pPr>
        <w:pStyle w:val="Standard"/>
        <w:jc w:val="both"/>
        <w:rPr>
          <w:rFonts w:ascii="Liberation Sans" w:hAnsi="Liberation Sans" w:cs="Liberation Sans" w:hint="eastAsia"/>
          <w:sz w:val="20"/>
        </w:rPr>
      </w:pPr>
      <w:r>
        <w:rPr>
          <w:rFonts w:ascii="Liberation Sans" w:hAnsi="Liberation Sans" w:cs="Liberation Sans"/>
          <w:sz w:val="20"/>
        </w:rPr>
        <w:t xml:space="preserve">Le formulaire </w:t>
      </w:r>
      <w:proofErr w:type="spellStart"/>
      <w:r>
        <w:rPr>
          <w:rFonts w:ascii="Liberation Sans" w:hAnsi="Liberation Sans" w:cs="Liberation Sans"/>
          <w:sz w:val="20"/>
        </w:rPr>
        <w:t>Cerfa</w:t>
      </w:r>
      <w:proofErr w:type="spellEnd"/>
      <w:r>
        <w:rPr>
          <w:rFonts w:ascii="Liberation Sans" w:hAnsi="Liberation Sans" w:cs="Liberation Sans"/>
          <w:sz w:val="20"/>
        </w:rPr>
        <w:t xml:space="preserve"> de la demande au transporteur est joint en annexe 2 de la présente analyse de compatibilité.</w:t>
      </w:r>
    </w:p>
    <w:p w14:paraId="409B0F2A" w14:textId="77777777" w:rsidR="00061A5F" w:rsidRDefault="00000000">
      <w:pPr>
        <w:pStyle w:val="Standard"/>
        <w:jc w:val="both"/>
        <w:rPr>
          <w:rFonts w:ascii="Liberation Sans" w:hAnsi="Liberation Sans" w:cs="Liberation Sans" w:hint="eastAsia"/>
          <w:sz w:val="20"/>
        </w:rPr>
      </w:pPr>
      <w:r>
        <w:rPr>
          <w:rFonts w:ascii="Liberation Sans" w:hAnsi="Liberation Sans" w:cs="Liberation Sans"/>
          <w:sz w:val="20"/>
        </w:rPr>
        <w:t>Le document réunissant les éléments utiles de l’étude de dangers fournis en réponse par le transporteur est joint en annexe 3 de la présente analyse de compatibilité.</w:t>
      </w:r>
    </w:p>
    <w:p w14:paraId="17A19C85" w14:textId="4325DE51" w:rsidR="00075A46" w:rsidRDefault="00075A46">
      <w:pPr>
        <w:rPr>
          <w:rFonts w:ascii="Liberation Sans" w:hAnsi="Liberation Sans" w:cs="Liberation Sans" w:hint="eastAsia"/>
          <w:sz w:val="20"/>
        </w:rPr>
      </w:pPr>
      <w:r>
        <w:rPr>
          <w:rFonts w:ascii="Liberation Sans" w:hAnsi="Liberation Sans" w:cs="Liberation Sans" w:hint="eastAsia"/>
          <w:sz w:val="20"/>
        </w:rPr>
        <w:br w:type="page"/>
      </w:r>
    </w:p>
    <w:p w14:paraId="2DFE6120" w14:textId="77777777" w:rsidR="00061A5F" w:rsidRDefault="00000000">
      <w:pPr>
        <w:pStyle w:val="Standard"/>
        <w:numPr>
          <w:ilvl w:val="0"/>
          <w:numId w:val="16"/>
        </w:numPr>
        <w:spacing w:after="120"/>
        <w:jc w:val="both"/>
        <w:rPr>
          <w:rFonts w:ascii="Liberation Sans" w:hAnsi="Liberation Sans" w:cs="Liberation Sans" w:hint="eastAsia"/>
          <w:b/>
          <w:bCs/>
        </w:rPr>
      </w:pPr>
      <w:r>
        <w:rPr>
          <w:rFonts w:ascii="Liberation Sans" w:hAnsi="Liberation Sans" w:cs="Liberation Sans"/>
          <w:b/>
          <w:bCs/>
        </w:rPr>
        <w:lastRenderedPageBreak/>
        <w:t>Analyse sommaire indépendamment des mesures particulières de protection sur la canalisation ou sur le bâti :</w:t>
      </w:r>
    </w:p>
    <w:p w14:paraId="12E0D50E" w14:textId="77777777" w:rsidR="00061A5F" w:rsidRDefault="00061A5F">
      <w:pPr>
        <w:pStyle w:val="Standard"/>
        <w:rPr>
          <w:rFonts w:ascii="Liberation Sans" w:hAnsi="Liberation Sans" w:cs="Liberation Sans" w:hint="eastAsia"/>
        </w:rPr>
      </w:pPr>
    </w:p>
    <w:p w14:paraId="565A380D" w14:textId="77777777" w:rsidR="00061A5F" w:rsidRDefault="00000000">
      <w:pPr>
        <w:pStyle w:val="Standard"/>
        <w:ind w:left="709" w:hanging="709"/>
        <w:rPr>
          <w:rFonts w:ascii="Liberation Sans" w:hAnsi="Liberation Sans" w:cs="Liberation Sans" w:hint="eastAsia"/>
          <w:sz w:val="20"/>
          <w:u w:val="single"/>
        </w:rPr>
      </w:pPr>
      <w:r>
        <w:rPr>
          <w:rFonts w:ascii="Liberation Sans" w:hAnsi="Liberation Sans" w:cs="Liberation Sans"/>
          <w:sz w:val="20"/>
          <w:u w:val="single"/>
        </w:rPr>
        <w:t>Pour chacun des 3 cas suivants, le projet est « compatible » sans condition complémentaire :</w:t>
      </w:r>
    </w:p>
    <w:p w14:paraId="5E252CE1" w14:textId="77777777" w:rsidR="00061A5F" w:rsidRDefault="00000000">
      <w:pPr>
        <w:pStyle w:val="Standard"/>
        <w:numPr>
          <w:ilvl w:val="0"/>
          <w:numId w:val="17"/>
        </w:numPr>
        <w:spacing w:after="60"/>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r>
        <w:rPr>
          <w:rFonts w:ascii="Liberation Sans" w:hAnsi="Liberation Sans" w:cs="Liberation Sans"/>
          <w:sz w:val="20"/>
        </w:rPr>
        <w:t xml:space="preserve">Effectif de l’ERP &lt; 100 personnes ou extension/modification de l’ERP sans augmentation du nombre de personnes </w:t>
      </w:r>
      <w:r w:rsidRPr="00B447EB">
        <w:rPr>
          <w:rFonts w:ascii="Liberation Sans" w:hAnsi="Liberation Sans" w:cs="Liberation Sans"/>
          <w:sz w:val="20"/>
        </w:rPr>
        <w:t>ni déplacement des zones de présence permanente des personnes vers la canalisation dans la SUP</w:t>
      </w:r>
      <w:r>
        <w:rPr>
          <w:rFonts w:ascii="Liberation Sans" w:hAnsi="Liberation Sans" w:cs="Liberation Sans"/>
          <w:sz w:val="20"/>
        </w:rPr>
        <w:t xml:space="preserve"> n°1</w:t>
      </w:r>
    </w:p>
    <w:p w14:paraId="53378BA1" w14:textId="77777777" w:rsidR="00061A5F" w:rsidRDefault="00000000">
      <w:pPr>
        <w:pStyle w:val="Standard"/>
        <w:numPr>
          <w:ilvl w:val="0"/>
          <w:numId w:val="5"/>
        </w:numPr>
        <w:spacing w:after="60"/>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sz w:val="20"/>
        </w:rPr>
        <w:t>D</w:t>
      </w:r>
      <w:r>
        <w:rPr>
          <w:rFonts w:ascii="Liberation Sans" w:hAnsi="Liberation Sans" w:cs="Liberation Sans"/>
          <w:sz w:val="20"/>
          <w:vertAlign w:val="subscript"/>
        </w:rPr>
        <w:t>mini</w:t>
      </w:r>
      <w:proofErr w:type="spellEnd"/>
      <w:r>
        <w:rPr>
          <w:rFonts w:ascii="Liberation Sans" w:hAnsi="Liberation Sans" w:cs="Liberation Sans"/>
          <w:sz w:val="20"/>
        </w:rPr>
        <w:t xml:space="preserve"> &gt; D</w:t>
      </w:r>
      <w:r>
        <w:rPr>
          <w:rFonts w:ascii="Liberation Sans" w:hAnsi="Liberation Sans" w:cs="Liberation Sans"/>
          <w:sz w:val="20"/>
          <w:vertAlign w:val="subscript"/>
        </w:rPr>
        <w:t>1 majorant</w:t>
      </w:r>
      <w:r>
        <w:rPr>
          <w:rFonts w:ascii="Liberation Sans" w:hAnsi="Liberation Sans" w:cs="Liberation Sans"/>
          <w:sz w:val="20"/>
        </w:rPr>
        <w:t> (SUP n° 1)</w:t>
      </w:r>
    </w:p>
    <w:p w14:paraId="14F47BCE" w14:textId="77777777" w:rsidR="00061A5F" w:rsidRDefault="00000000">
      <w:pPr>
        <w:pStyle w:val="Standard"/>
        <w:numPr>
          <w:ilvl w:val="0"/>
          <w:numId w:val="5"/>
        </w:numPr>
        <w:ind w:left="357" w:hanging="357"/>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sz w:val="20"/>
        </w:rPr>
        <w:t>D</w:t>
      </w:r>
      <w:r>
        <w:rPr>
          <w:rFonts w:ascii="Liberation Sans" w:hAnsi="Liberation Sans" w:cs="Liberation Sans"/>
          <w:sz w:val="20"/>
          <w:vertAlign w:val="subscript"/>
        </w:rPr>
        <w:t>mini</w:t>
      </w:r>
      <w:proofErr w:type="spellEnd"/>
      <w:r>
        <w:rPr>
          <w:rFonts w:ascii="Liberation Sans" w:hAnsi="Liberation Sans" w:cs="Liberation Sans"/>
          <w:sz w:val="20"/>
        </w:rPr>
        <w:t xml:space="preserve"> &gt; D</w:t>
      </w:r>
      <w:r>
        <w:rPr>
          <w:rFonts w:ascii="Liberation Sans" w:hAnsi="Liberation Sans" w:cs="Liberation Sans"/>
          <w:sz w:val="20"/>
          <w:vertAlign w:val="subscript"/>
        </w:rPr>
        <w:t>3 majorant</w:t>
      </w:r>
      <w:r>
        <w:rPr>
          <w:rFonts w:ascii="Liberation Sans" w:hAnsi="Liberation Sans" w:cs="Liberation Sans"/>
          <w:sz w:val="20"/>
        </w:rPr>
        <w:t> et l’effectif maximal ERP &lt; 300 personnes</w:t>
      </w:r>
    </w:p>
    <w:p w14:paraId="023E38EC" w14:textId="77777777" w:rsidR="00061A5F" w:rsidRDefault="00061A5F">
      <w:pPr>
        <w:pStyle w:val="Standard"/>
        <w:jc w:val="both"/>
        <w:rPr>
          <w:rFonts w:ascii="Liberation Sans" w:hAnsi="Liberation Sans" w:cs="Liberation Sans" w:hint="eastAsia"/>
          <w:sz w:val="20"/>
        </w:rPr>
      </w:pPr>
    </w:p>
    <w:p w14:paraId="281A7A38" w14:textId="77777777" w:rsidR="00061A5F" w:rsidRDefault="00000000">
      <w:pPr>
        <w:pStyle w:val="Standard"/>
        <w:rPr>
          <w:rFonts w:ascii="Liberation Sans" w:hAnsi="Liberation Sans" w:cs="Liberation Sans" w:hint="eastAsia"/>
          <w:sz w:val="20"/>
          <w:u w:val="single"/>
        </w:rPr>
      </w:pPr>
      <w:r>
        <w:rPr>
          <w:rFonts w:ascii="Liberation Sans" w:hAnsi="Liberation Sans" w:cs="Liberation Sans"/>
          <w:sz w:val="20"/>
          <w:u w:val="single"/>
        </w:rPr>
        <w:t>Dans les 2 cas suivants, le projet est « incompatible » :</w:t>
      </w:r>
    </w:p>
    <w:p w14:paraId="1ACF90F0" w14:textId="77777777" w:rsidR="00061A5F" w:rsidRDefault="00000000">
      <w:pPr>
        <w:pStyle w:val="Standard"/>
        <w:numPr>
          <w:ilvl w:val="0"/>
          <w:numId w:val="5"/>
        </w:numPr>
        <w:spacing w:after="60"/>
        <w:jc w:val="both"/>
        <w:rPr>
          <w:rFonts w:hint="eastAsia"/>
        </w:rPr>
      </w:pPr>
      <w:r>
        <w:rPr>
          <w:rFonts w:ascii="Wingdings" w:hAnsi="Wingdings" w:cs="Wingdings"/>
          <w:sz w:val="20"/>
          <w:shd w:val="clear" w:color="auto" w:fill="FF0000"/>
        </w:rPr>
        <w:t></w:t>
      </w:r>
      <w:r>
        <w:rPr>
          <w:rFonts w:ascii="Liberation Sans" w:eastAsia="Liberation Sans" w:hAnsi="Liberation Sans" w:cs="Liberation Sans"/>
          <w:sz w:val="20"/>
        </w:rPr>
        <w:t xml:space="preserve"> </w:t>
      </w:r>
      <w:proofErr w:type="spellStart"/>
      <w:r>
        <w:rPr>
          <w:rFonts w:ascii="Liberation Sans" w:hAnsi="Liberation Sans" w:cs="Liberation Sans"/>
          <w:sz w:val="20"/>
        </w:rPr>
        <w:t>D</w:t>
      </w:r>
      <w:r>
        <w:rPr>
          <w:rFonts w:ascii="Liberation Sans" w:hAnsi="Liberation Sans" w:cs="Liberation Sans"/>
          <w:sz w:val="20"/>
          <w:vertAlign w:val="subscript"/>
        </w:rPr>
        <w:t>mini</w:t>
      </w:r>
      <w:proofErr w:type="spellEnd"/>
      <w:r w:rsidRPr="00B447EB">
        <w:rPr>
          <w:rFonts w:ascii="Liberation Sans" w:hAnsi="Liberation Sans" w:cs="Liberation Sans"/>
          <w:sz w:val="20"/>
        </w:rPr>
        <w:t xml:space="preserve"> ≤</w:t>
      </w:r>
      <w:r>
        <w:rPr>
          <w:rFonts w:ascii="Liberation Sans" w:hAnsi="Liberation Sans" w:cs="Liberation Sans"/>
          <w:sz w:val="20"/>
        </w:rPr>
        <w:t xml:space="preserve"> D</w:t>
      </w:r>
      <w:r>
        <w:rPr>
          <w:rFonts w:ascii="Liberation Sans" w:hAnsi="Liberation Sans" w:cs="Liberation Sans"/>
          <w:sz w:val="20"/>
          <w:vertAlign w:val="subscript"/>
        </w:rPr>
        <w:t>4 réduit</w:t>
      </w:r>
      <w:r>
        <w:rPr>
          <w:rFonts w:ascii="Liberation Sans" w:hAnsi="Liberation Sans" w:cs="Liberation Sans"/>
          <w:sz w:val="20"/>
        </w:rPr>
        <w:t xml:space="preserve"> (SUP n° 3) et il s’agit d’un ERP/IGH « </w:t>
      </w:r>
      <w:proofErr w:type="gramStart"/>
      <w:r>
        <w:rPr>
          <w:rFonts w:ascii="Liberation Sans" w:hAnsi="Liberation Sans" w:cs="Liberation Sans"/>
          <w:sz w:val="20"/>
        </w:rPr>
        <w:t>nouveau</w:t>
      </w:r>
      <w:r>
        <w:rPr>
          <w:rFonts w:ascii="Liberation Sans" w:hAnsi="Liberation Sans" w:cs="Liberation Sans"/>
          <w:sz w:val="20"/>
          <w:vertAlign w:val="superscript"/>
        </w:rPr>
        <w:t>(</w:t>
      </w:r>
      <w:proofErr w:type="gramEnd"/>
      <w:r>
        <w:rPr>
          <w:rFonts w:ascii="Liberation Sans" w:hAnsi="Liberation Sans" w:cs="Liberation Sans"/>
          <w:sz w:val="20"/>
          <w:vertAlign w:val="superscript"/>
        </w:rPr>
        <w:t>1)</w:t>
      </w:r>
      <w:r>
        <w:rPr>
          <w:rFonts w:ascii="Liberation Sans" w:hAnsi="Liberation Sans" w:cs="Liberation Sans"/>
          <w:sz w:val="20"/>
        </w:rPr>
        <w:t> »</w:t>
      </w:r>
    </w:p>
    <w:p w14:paraId="27F80275" w14:textId="77777777" w:rsidR="00061A5F" w:rsidRDefault="00000000">
      <w:pPr>
        <w:pStyle w:val="Standard"/>
        <w:numPr>
          <w:ilvl w:val="0"/>
          <w:numId w:val="5"/>
        </w:numPr>
        <w:jc w:val="both"/>
        <w:rPr>
          <w:rFonts w:hint="eastAsia"/>
        </w:rPr>
      </w:pPr>
      <w:r>
        <w:rPr>
          <w:rFonts w:ascii="Wingdings" w:hAnsi="Wingdings" w:cs="Wingdings"/>
          <w:sz w:val="20"/>
          <w:shd w:val="clear" w:color="auto" w:fill="FF0000"/>
        </w:rPr>
        <w:t></w:t>
      </w:r>
      <w:r>
        <w:rPr>
          <w:rFonts w:ascii="Liberation Sans" w:eastAsia="Liberation Sans" w:hAnsi="Liberation Sans" w:cs="Liberation Sans"/>
          <w:sz w:val="20"/>
        </w:rPr>
        <w:t xml:space="preserve"> </w:t>
      </w:r>
      <w:proofErr w:type="spellStart"/>
      <w:r>
        <w:rPr>
          <w:rFonts w:ascii="Liberation Sans" w:hAnsi="Liberation Sans" w:cs="Liberation Sans"/>
          <w:sz w:val="20"/>
        </w:rPr>
        <w:t>D</w:t>
      </w:r>
      <w:r>
        <w:rPr>
          <w:rFonts w:ascii="Liberation Sans" w:hAnsi="Liberation Sans" w:cs="Liberation Sans"/>
          <w:sz w:val="20"/>
          <w:vertAlign w:val="subscript"/>
        </w:rPr>
        <w:t>mini</w:t>
      </w:r>
      <w:proofErr w:type="spellEnd"/>
      <w:r>
        <w:rPr>
          <w:rFonts w:ascii="Liberation Sans" w:hAnsi="Liberation Sans" w:cs="Liberation Sans"/>
          <w:sz w:val="20"/>
        </w:rPr>
        <w:t xml:space="preserve"> </w:t>
      </w:r>
      <w:r w:rsidRPr="00B447EB">
        <w:rPr>
          <w:rFonts w:ascii="Liberation Sans" w:hAnsi="Liberation Sans" w:cs="Liberation Sans"/>
          <w:sz w:val="20"/>
        </w:rPr>
        <w:t xml:space="preserve">≤ </w:t>
      </w:r>
      <w:r>
        <w:rPr>
          <w:rFonts w:ascii="Liberation Sans" w:hAnsi="Liberation Sans" w:cs="Liberation Sans"/>
          <w:sz w:val="20"/>
        </w:rPr>
        <w:t>D</w:t>
      </w:r>
      <w:r>
        <w:rPr>
          <w:rFonts w:ascii="Liberation Sans" w:hAnsi="Liberation Sans" w:cs="Liberation Sans"/>
          <w:sz w:val="20"/>
          <w:vertAlign w:val="subscript"/>
        </w:rPr>
        <w:t>2 réduit</w:t>
      </w:r>
      <w:r>
        <w:rPr>
          <w:rFonts w:ascii="Liberation Sans" w:hAnsi="Liberation Sans" w:cs="Liberation Sans"/>
          <w:sz w:val="20"/>
        </w:rPr>
        <w:t> (SUP n° 2) et il s’agit d’un ERP/IGH « </w:t>
      </w:r>
      <w:proofErr w:type="gramStart"/>
      <w:r>
        <w:rPr>
          <w:rFonts w:ascii="Liberation Sans" w:hAnsi="Liberation Sans" w:cs="Liberation Sans"/>
          <w:sz w:val="20"/>
        </w:rPr>
        <w:t>nouveau</w:t>
      </w:r>
      <w:r>
        <w:rPr>
          <w:rFonts w:ascii="Liberation Sans" w:hAnsi="Liberation Sans" w:cs="Liberation Sans"/>
          <w:sz w:val="20"/>
          <w:vertAlign w:val="superscript"/>
        </w:rPr>
        <w:t>(</w:t>
      </w:r>
      <w:proofErr w:type="gramEnd"/>
      <w:r>
        <w:rPr>
          <w:rFonts w:ascii="Liberation Sans" w:hAnsi="Liberation Sans" w:cs="Liberation Sans"/>
          <w:sz w:val="20"/>
          <w:vertAlign w:val="superscript"/>
        </w:rPr>
        <w:t>1)</w:t>
      </w:r>
      <w:r>
        <w:rPr>
          <w:rFonts w:ascii="Liberation Sans" w:hAnsi="Liberation Sans" w:cs="Liberation Sans"/>
          <w:sz w:val="20"/>
        </w:rPr>
        <w:t> » dont l’effectif maximal ERP est &gt; 300 personnes.</w:t>
      </w:r>
    </w:p>
    <w:p w14:paraId="70830FFA" w14:textId="77777777" w:rsidR="00061A5F" w:rsidRDefault="00061A5F">
      <w:pPr>
        <w:pStyle w:val="Standard"/>
        <w:rPr>
          <w:rFonts w:ascii="Liberation Sans" w:hAnsi="Liberation Sans" w:cs="Liberation Sans" w:hint="eastAsia"/>
          <w:b/>
          <w:bCs/>
          <w:sz w:val="20"/>
        </w:rPr>
      </w:pPr>
    </w:p>
    <w:p w14:paraId="6F08E2FA" w14:textId="77777777" w:rsidR="00061A5F" w:rsidRDefault="00000000">
      <w:pPr>
        <w:pStyle w:val="Standard"/>
        <w:rPr>
          <w:rFonts w:ascii="Liberation Sans" w:hAnsi="Liberation Sans" w:cs="Liberation Sans" w:hint="eastAsia"/>
          <w:sz w:val="20"/>
          <w:u w:val="single"/>
        </w:rPr>
      </w:pPr>
      <w:r>
        <w:rPr>
          <w:rFonts w:ascii="Liberation Sans" w:hAnsi="Liberation Sans" w:cs="Liberation Sans"/>
          <w:sz w:val="20"/>
          <w:u w:val="single"/>
        </w:rPr>
        <w:t>Dans tous les autres cas :</w:t>
      </w:r>
    </w:p>
    <w:p w14:paraId="42F88615" w14:textId="77777777" w:rsidR="00061A5F" w:rsidRDefault="00000000">
      <w:pPr>
        <w:pStyle w:val="Standard"/>
        <w:numPr>
          <w:ilvl w:val="0"/>
          <w:numId w:val="5"/>
        </w:numPr>
        <w:ind w:left="357" w:hanging="357"/>
        <w:jc w:val="both"/>
        <w:rPr>
          <w:rFonts w:hint="eastAsia"/>
        </w:rPr>
      </w:pPr>
      <w:r>
        <w:rPr>
          <w:rFonts w:ascii="Wingdings" w:hAnsi="Wingdings" w:cs="Wingdings"/>
          <w:sz w:val="20"/>
          <w:shd w:val="clear" w:color="auto" w:fill="FFFF00"/>
        </w:rPr>
        <w:t></w:t>
      </w:r>
      <w:r>
        <w:rPr>
          <w:rFonts w:ascii="Liberation Sans" w:eastAsia="Liberation Sans" w:hAnsi="Liberation Sans" w:cs="Liberation Sans"/>
          <w:sz w:val="20"/>
        </w:rPr>
        <w:t xml:space="preserve"> </w:t>
      </w:r>
      <w:r>
        <w:rPr>
          <w:rFonts w:ascii="Liberation Sans" w:hAnsi="Liberation Sans" w:cs="Liberation Sans"/>
          <w:sz w:val="20"/>
        </w:rPr>
        <w:t>l’acceptabilité au regard de la matrice d’évaluation du risque doit être vérifiée (au §2).</w:t>
      </w:r>
    </w:p>
    <w:p w14:paraId="533CB7CF" w14:textId="77777777" w:rsidR="00061A5F" w:rsidRDefault="00061A5F">
      <w:pPr>
        <w:pStyle w:val="Standard"/>
        <w:rPr>
          <w:rFonts w:ascii="Liberation Sans" w:hAnsi="Liberation Sans" w:cs="Liberation Sans" w:hint="eastAsia"/>
          <w:vertAlign w:val="superscript"/>
        </w:rPr>
      </w:pPr>
    </w:p>
    <w:p w14:paraId="5B64546B" w14:textId="77777777" w:rsidR="00061A5F" w:rsidRDefault="00000000">
      <w:pPr>
        <w:pStyle w:val="Standard"/>
        <w:rPr>
          <w:rFonts w:hint="eastAsia"/>
        </w:rPr>
      </w:pPr>
      <w:r>
        <w:rPr>
          <w:rFonts w:ascii="Liberation Sans" w:hAnsi="Liberation Sans" w:cs="Liberation Sans"/>
          <w:sz w:val="18"/>
          <w:vertAlign w:val="superscript"/>
        </w:rPr>
        <w:t xml:space="preserve">(1) </w:t>
      </w:r>
      <w:r>
        <w:rPr>
          <w:rFonts w:ascii="Liberation Sans" w:hAnsi="Liberation Sans" w:cs="Liberation Sans"/>
          <w:sz w:val="18"/>
        </w:rPr>
        <w:t xml:space="preserve">Dans le cas d’un projet </w:t>
      </w:r>
      <w:proofErr w:type="gramStart"/>
      <w:r>
        <w:rPr>
          <w:rFonts w:ascii="Liberation Sans" w:hAnsi="Liberation Sans" w:cs="Liberation Sans"/>
          <w:sz w:val="18"/>
        </w:rPr>
        <w:t>d’ «</w:t>
      </w:r>
      <w:proofErr w:type="gramEnd"/>
      <w:r>
        <w:rPr>
          <w:rFonts w:ascii="Liberation Sans" w:hAnsi="Liberation Sans" w:cs="Liberation Sans"/>
          <w:sz w:val="18"/>
        </w:rPr>
        <w:t> extension / modification » d’un ERP ou IGH existant, une solution de levée de l’incompatibilité mentionnée aux 1d et 1e peut être recherchée par le maître d’ouvrage par l’application successive des §2 et 3 ci-après, comme pour les autres cas prévus au §2f.</w:t>
      </w:r>
    </w:p>
    <w:p w14:paraId="33076D01" w14:textId="77777777" w:rsidR="00061A5F" w:rsidRDefault="00061A5F">
      <w:pPr>
        <w:pStyle w:val="Standard"/>
        <w:rPr>
          <w:rFonts w:ascii="Liberation Sans" w:hAnsi="Liberation Sans" w:cs="Liberation Sans" w:hint="eastAsia"/>
        </w:rPr>
      </w:pPr>
    </w:p>
    <w:p w14:paraId="3EED9AED" w14:textId="77777777" w:rsidR="00061A5F" w:rsidRDefault="00061A5F">
      <w:pPr>
        <w:pStyle w:val="Standard"/>
        <w:rPr>
          <w:rFonts w:ascii="Liberation Sans" w:hAnsi="Liberation Sans" w:cs="Liberation Sans" w:hint="eastAsia"/>
        </w:rPr>
      </w:pPr>
    </w:p>
    <w:p w14:paraId="3C5D4E97" w14:textId="77777777" w:rsidR="00061A5F" w:rsidRDefault="00000000">
      <w:pPr>
        <w:pStyle w:val="Standard"/>
        <w:numPr>
          <w:ilvl w:val="0"/>
          <w:numId w:val="4"/>
        </w:numPr>
        <w:ind w:left="357" w:hanging="357"/>
        <w:jc w:val="both"/>
        <w:rPr>
          <w:rFonts w:ascii="Liberation Sans" w:hAnsi="Liberation Sans" w:cs="Liberation Sans" w:hint="eastAsia"/>
          <w:b/>
          <w:bCs/>
        </w:rPr>
      </w:pPr>
      <w:bookmarkStart w:id="1" w:name="OLE_LINK4"/>
      <w:r>
        <w:rPr>
          <w:rFonts w:ascii="Liberation Sans" w:hAnsi="Liberation Sans" w:cs="Liberation Sans"/>
          <w:b/>
          <w:bCs/>
        </w:rPr>
        <w:t>Application des §4 et 5 de l’annexe 4 de l’arrêté « multifluide » : acceptabilité au regard de la matrice d’évaluation du risque :</w:t>
      </w:r>
    </w:p>
    <w:bookmarkEnd w:id="1"/>
    <w:p w14:paraId="629CBE2F" w14:textId="77777777" w:rsidR="00061A5F" w:rsidRDefault="00061A5F">
      <w:pPr>
        <w:pStyle w:val="Standard"/>
        <w:ind w:left="357" w:hanging="357"/>
        <w:rPr>
          <w:rFonts w:ascii="Liberation Sans" w:hAnsi="Liberation Sans" w:cs="Liberation Sans" w:hint="eastAsia"/>
          <w:sz w:val="20"/>
        </w:rPr>
      </w:pPr>
    </w:p>
    <w:p w14:paraId="32390E48" w14:textId="77777777" w:rsidR="00061A5F" w:rsidRDefault="00000000">
      <w:pPr>
        <w:pStyle w:val="Standard"/>
        <w:rPr>
          <w:rFonts w:hint="eastAsia"/>
        </w:rPr>
      </w:pPr>
      <w:r>
        <w:rPr>
          <w:rFonts w:ascii="Liberation Sans" w:hAnsi="Liberation Sans" w:cs="Liberation Sans"/>
          <w:i/>
          <w:iCs/>
          <w:color w:val="333399"/>
          <w:sz w:val="20"/>
        </w:rPr>
        <w:t xml:space="preserve">Dans les cas prévus au </w:t>
      </w:r>
      <w:r>
        <w:rPr>
          <w:rFonts w:ascii="Liberation Sans" w:hAnsi="Liberation Sans" w:cs="Liberation Sans"/>
          <w:b/>
          <w:bCs/>
          <w:i/>
          <w:iCs/>
          <w:color w:val="333399"/>
          <w:sz w:val="20"/>
        </w:rPr>
        <w:t>§1f</w:t>
      </w:r>
      <w:r>
        <w:rPr>
          <w:rFonts w:ascii="Liberation Sans" w:hAnsi="Liberation Sans" w:cs="Liberation Sans"/>
          <w:i/>
          <w:iCs/>
          <w:color w:val="333399"/>
          <w:sz w:val="20"/>
        </w:rPr>
        <w:t>, il est nécessaire de vérifier l’acceptabilité de la situation projetée au regard de la matrice d’évaluation du risque. On s’appuie pour cela sur les §4 et 5 de l’annexe 4 de l’arrêté « multifluide ».</w:t>
      </w:r>
    </w:p>
    <w:p w14:paraId="51E5A7A3" w14:textId="77777777" w:rsidR="00061A5F" w:rsidRDefault="00061A5F">
      <w:pPr>
        <w:pStyle w:val="Standard"/>
        <w:ind w:left="357" w:hanging="357"/>
        <w:rPr>
          <w:rFonts w:ascii="Liberation Sans" w:hAnsi="Liberation Sans" w:cs="Liberation Sans" w:hint="eastAsia"/>
          <w:sz w:val="20"/>
        </w:rPr>
      </w:pPr>
    </w:p>
    <w:p w14:paraId="725CFCFE" w14:textId="77777777" w:rsidR="00061A5F" w:rsidRDefault="00000000">
      <w:pPr>
        <w:pStyle w:val="Standard"/>
        <w:rPr>
          <w:rFonts w:ascii="Liberation Sans" w:hAnsi="Liberation Sans" w:cs="Liberation Sans" w:hint="eastAsia"/>
          <w:sz w:val="20"/>
        </w:rPr>
      </w:pPr>
      <w:r>
        <w:rPr>
          <w:rFonts w:ascii="Liberation Sans" w:hAnsi="Liberation Sans" w:cs="Liberation Sans"/>
          <w:sz w:val="20"/>
        </w:rPr>
        <w:t>Les matrices (tableaux 3 et 4 de l’annexe 4 de l’arrêté « multifluide ») sont appliquées pour les phénomènes dangereux majorant et réduit et pour chacune des 4 distances d’effets (PEL avec et sans mobilité, ELS avec et sans mobilité) :</w:t>
      </w:r>
    </w:p>
    <w:p w14:paraId="746281E0" w14:textId="77777777" w:rsidR="00061A5F" w:rsidRDefault="00000000">
      <w:pPr>
        <w:pStyle w:val="Standard"/>
        <w:numPr>
          <w:ilvl w:val="0"/>
          <w:numId w:val="18"/>
        </w:numPr>
        <w:tabs>
          <w:tab w:val="left" w:pos="644"/>
        </w:tabs>
        <w:spacing w:before="60"/>
        <w:ind w:left="284" w:hanging="284"/>
        <w:jc w:val="both"/>
        <w:rPr>
          <w:rFonts w:ascii="Liberation Sans" w:hAnsi="Liberation Sans" w:cs="Liberation Sans" w:hint="eastAsia"/>
          <w:sz w:val="20"/>
        </w:rPr>
      </w:pPr>
      <w:r>
        <w:rPr>
          <w:rFonts w:ascii="Liberation Sans" w:hAnsi="Liberation Sans" w:cs="Liberation Sans"/>
          <w:sz w:val="20"/>
        </w:rPr>
        <w:t>Dans un premier temps en tenant compte des mesures de protection de la canalisation en place à la date de l’analyse de compatibilité (tableau 3) ;</w:t>
      </w:r>
    </w:p>
    <w:p w14:paraId="021D53E8" w14:textId="77777777" w:rsidR="00061A5F" w:rsidRDefault="00000000">
      <w:pPr>
        <w:pStyle w:val="Standard"/>
        <w:numPr>
          <w:ilvl w:val="0"/>
          <w:numId w:val="6"/>
        </w:numPr>
        <w:tabs>
          <w:tab w:val="left" w:pos="644"/>
        </w:tabs>
        <w:spacing w:before="60"/>
        <w:ind w:left="284" w:hanging="284"/>
        <w:jc w:val="both"/>
        <w:rPr>
          <w:rFonts w:ascii="Liberation Sans" w:hAnsi="Liberation Sans" w:cs="Liberation Sans" w:hint="eastAsia"/>
          <w:sz w:val="20"/>
        </w:rPr>
      </w:pPr>
      <w:r>
        <w:rPr>
          <w:rFonts w:ascii="Liberation Sans" w:hAnsi="Liberation Sans" w:cs="Liberation Sans"/>
          <w:sz w:val="20"/>
        </w:rPr>
        <w:t>Puis, pour chaque cas d’inacceptabilité, en tenant compte des mesures particulières de protection de la canalisation à mettre en œuvre et qui permettent d’atteindre l’acceptabilité, identifiées par le maître d’ouvrage en relation avec le transporteur (tableau 4). Le résultat positif de l’application des matrices grâce aux mesures particulières de protection proposées est annexé à la présente analyse (cf. annexe 3), et résumé ci-après :</w:t>
      </w:r>
    </w:p>
    <w:p w14:paraId="3A28A38E" w14:textId="77777777" w:rsidR="00061A5F" w:rsidRDefault="00000000">
      <w:pPr>
        <w:pStyle w:val="Standard"/>
        <w:numPr>
          <w:ilvl w:val="1"/>
          <w:numId w:val="7"/>
        </w:numPr>
        <w:spacing w:after="60"/>
        <w:ind w:hanging="357"/>
        <w:jc w:val="both"/>
        <w:rPr>
          <w:rFonts w:hint="eastAsia"/>
        </w:rPr>
      </w:pPr>
      <w:r>
        <w:rPr>
          <w:rFonts w:ascii="Liberation Sans" w:hAnsi="Liberation Sans" w:cs="Liberation Sans"/>
          <w:sz w:val="20"/>
        </w:rPr>
        <w:t>1</w:t>
      </w:r>
      <w:r>
        <w:rPr>
          <w:rFonts w:ascii="Wingdings" w:hAnsi="Wingdings" w:cs="Wingdings"/>
          <w:sz w:val="20"/>
        </w:rPr>
        <w:t></w:t>
      </w:r>
      <w:r>
        <w:rPr>
          <w:rFonts w:ascii="Liberation Sans" w:hAnsi="Liberation Sans" w:cs="Liberation Sans"/>
          <w:sz w:val="20"/>
        </w:rPr>
        <w:t xml:space="preserve"> Mesure de réduction du risque « travaux tiers » :</w:t>
      </w:r>
    </w:p>
    <w:p w14:paraId="441741E0" w14:textId="77777777" w:rsidR="00061A5F" w:rsidRDefault="00000000">
      <w:pPr>
        <w:pStyle w:val="Standard"/>
        <w:numPr>
          <w:ilvl w:val="1"/>
          <w:numId w:val="7"/>
        </w:numPr>
        <w:spacing w:after="60"/>
        <w:ind w:hanging="357"/>
        <w:jc w:val="both"/>
        <w:rPr>
          <w:rFonts w:hint="eastAsia"/>
        </w:rPr>
      </w:pPr>
      <w:r>
        <w:rPr>
          <w:rFonts w:ascii="Liberation Sans" w:hAnsi="Liberation Sans" w:cs="Liberation Sans"/>
          <w:sz w:val="20"/>
        </w:rPr>
        <w:t>2</w:t>
      </w:r>
      <w:r>
        <w:rPr>
          <w:rFonts w:ascii="Wingdings" w:hAnsi="Wingdings" w:cs="Wingdings"/>
          <w:sz w:val="20"/>
        </w:rPr>
        <w:t></w:t>
      </w:r>
      <w:r>
        <w:rPr>
          <w:rFonts w:ascii="Liberation Sans" w:hAnsi="Liberation Sans" w:cs="Liberation Sans"/>
          <w:sz w:val="20"/>
        </w:rPr>
        <w:t xml:space="preserve"> Mesure de réduction du risque « corrosion » :</w:t>
      </w:r>
    </w:p>
    <w:p w14:paraId="4B46FD33" w14:textId="77777777" w:rsidR="00061A5F" w:rsidRDefault="00000000">
      <w:pPr>
        <w:pStyle w:val="Standard"/>
        <w:numPr>
          <w:ilvl w:val="1"/>
          <w:numId w:val="7"/>
        </w:numPr>
        <w:spacing w:after="60"/>
        <w:ind w:left="1434" w:hanging="357"/>
        <w:jc w:val="both"/>
        <w:rPr>
          <w:rFonts w:hint="eastAsia"/>
        </w:rPr>
      </w:pPr>
      <w:r>
        <w:rPr>
          <w:rFonts w:ascii="Liberation Sans" w:hAnsi="Liberation Sans" w:cs="Liberation Sans"/>
          <w:sz w:val="20"/>
        </w:rPr>
        <w:t>3</w:t>
      </w:r>
      <w:r>
        <w:rPr>
          <w:rFonts w:ascii="Wingdings" w:hAnsi="Wingdings" w:cs="Wingdings"/>
          <w:sz w:val="20"/>
        </w:rPr>
        <w:t></w:t>
      </w:r>
      <w:r>
        <w:rPr>
          <w:rFonts w:ascii="Liberation Sans" w:hAnsi="Liberation Sans" w:cs="Liberation Sans"/>
          <w:sz w:val="20"/>
        </w:rPr>
        <w:t xml:space="preserve"> Mesure de réduction du risque « construction – défaut matériau » :</w:t>
      </w:r>
    </w:p>
    <w:p w14:paraId="7D6C6AA9" w14:textId="77777777" w:rsidR="00061A5F" w:rsidRDefault="00000000">
      <w:pPr>
        <w:pStyle w:val="Standard"/>
        <w:tabs>
          <w:tab w:val="left" w:pos="568"/>
        </w:tabs>
        <w:ind w:left="284"/>
        <w:rPr>
          <w:rFonts w:ascii="Liberation Sans" w:hAnsi="Liberation Sans" w:cs="Liberation Sans" w:hint="eastAsia"/>
          <w:iCs/>
          <w:color w:val="333399"/>
          <w:sz w:val="20"/>
        </w:rPr>
      </w:pPr>
      <w:r>
        <w:rPr>
          <w:rFonts w:ascii="Liberation Sans" w:hAnsi="Liberation Sans" w:cs="Liberation Sans"/>
          <w:iCs/>
          <w:color w:val="333399"/>
          <w:sz w:val="20"/>
        </w:rPr>
        <w:t>La ou les mesure(s) cochée(s) ci-dessus devra(ont) être mise(s) en place avant l’ouverture au public de l’ERP ou la première occupation de l’IGH</w:t>
      </w:r>
    </w:p>
    <w:p w14:paraId="4344CD21" w14:textId="77777777" w:rsidR="00061A5F" w:rsidRDefault="00061A5F">
      <w:pPr>
        <w:pStyle w:val="Standard"/>
        <w:jc w:val="both"/>
        <w:rPr>
          <w:rFonts w:ascii="Liberation Sans" w:hAnsi="Liberation Sans" w:cs="Liberation Sans" w:hint="eastAsia"/>
          <w:sz w:val="20"/>
        </w:rPr>
      </w:pPr>
    </w:p>
    <w:p w14:paraId="417E4F05" w14:textId="77777777" w:rsidR="00061A5F" w:rsidRDefault="00000000">
      <w:pPr>
        <w:pStyle w:val="Standard"/>
        <w:numPr>
          <w:ilvl w:val="0"/>
          <w:numId w:val="19"/>
        </w:numPr>
        <w:tabs>
          <w:tab w:val="left" w:pos="851"/>
        </w:tabs>
        <w:spacing w:after="180"/>
        <w:ind w:left="425" w:hanging="425"/>
        <w:jc w:val="both"/>
        <w:rPr>
          <w:rFonts w:hint="eastAsia"/>
        </w:rPr>
      </w:pPr>
      <w:r>
        <w:rPr>
          <w:rFonts w:ascii="Wingdings" w:hAnsi="Wingdings" w:cs="Wingdings"/>
          <w:sz w:val="20"/>
          <w:shd w:val="clear" w:color="auto" w:fill="FF0000"/>
        </w:rPr>
        <w:t></w:t>
      </w:r>
      <w:r>
        <w:rPr>
          <w:rFonts w:ascii="Liberation Sans" w:eastAsia="Liberation Sans" w:hAnsi="Liberation Sans" w:cs="Liberation Sans"/>
          <w:sz w:val="20"/>
        </w:rPr>
        <w:t xml:space="preserve"> </w:t>
      </w:r>
      <w:r>
        <w:rPr>
          <w:rFonts w:ascii="Liberation Sans" w:hAnsi="Liberation Sans" w:cs="Liberation Sans"/>
          <w:sz w:val="20"/>
        </w:rPr>
        <w:t xml:space="preserve">Aucune mesure de protection de la canalisation ne permet d’atteindre l’acceptabilité au niveau des matrices : </w:t>
      </w:r>
      <w:r>
        <w:rPr>
          <w:rFonts w:ascii="Liberation Sans" w:hAnsi="Liberation Sans" w:cs="Liberation Sans"/>
          <w:b/>
          <w:bCs/>
          <w:sz w:val="20"/>
        </w:rPr>
        <w:t>le projet est INCOMPATIBLE</w:t>
      </w:r>
    </w:p>
    <w:p w14:paraId="25AA391A" w14:textId="77777777" w:rsidR="00061A5F" w:rsidRDefault="00000000">
      <w:pPr>
        <w:pStyle w:val="Standard"/>
        <w:spacing w:after="60"/>
        <w:ind w:firstLine="426"/>
        <w:rPr>
          <w:rFonts w:ascii="Liberation Sans" w:hAnsi="Liberation Sans" w:cs="Liberation Sans" w:hint="eastAsia"/>
          <w:sz w:val="20"/>
        </w:rPr>
      </w:pPr>
      <w:r>
        <w:rPr>
          <w:rFonts w:ascii="Liberation Sans" w:hAnsi="Liberation Sans" w:cs="Liberation Sans"/>
          <w:sz w:val="20"/>
        </w:rPr>
        <w:t>L’acceptabilité a été prouvée en tenant compte des mesures de protection en place ou prévues et :</w:t>
      </w:r>
    </w:p>
    <w:p w14:paraId="0E5D5C76" w14:textId="77777777" w:rsidR="00061A5F" w:rsidRDefault="00000000">
      <w:pPr>
        <w:pStyle w:val="Standard"/>
        <w:numPr>
          <w:ilvl w:val="0"/>
          <w:numId w:val="8"/>
        </w:numPr>
        <w:tabs>
          <w:tab w:val="left" w:pos="852"/>
        </w:tabs>
        <w:spacing w:after="60"/>
        <w:ind w:left="426" w:hanging="426"/>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b/>
          <w:bCs/>
          <w:sz w:val="20"/>
        </w:rPr>
        <w:t>D</w:t>
      </w:r>
      <w:r>
        <w:rPr>
          <w:rFonts w:ascii="Liberation Sans" w:hAnsi="Liberation Sans" w:cs="Liberation Sans"/>
          <w:b/>
          <w:bCs/>
          <w:sz w:val="20"/>
          <w:vertAlign w:val="subscript"/>
        </w:rPr>
        <w:t>mini</w:t>
      </w:r>
      <w:proofErr w:type="spellEnd"/>
      <w:r>
        <w:rPr>
          <w:rFonts w:ascii="Liberation Sans" w:hAnsi="Liberation Sans" w:cs="Liberation Sans"/>
          <w:b/>
          <w:bCs/>
          <w:sz w:val="20"/>
        </w:rPr>
        <w:t xml:space="preserve"> &gt; D</w:t>
      </w:r>
      <w:r>
        <w:rPr>
          <w:rFonts w:ascii="Liberation Sans" w:hAnsi="Liberation Sans" w:cs="Liberation Sans"/>
          <w:b/>
          <w:bCs/>
          <w:sz w:val="20"/>
          <w:vertAlign w:val="subscript"/>
        </w:rPr>
        <w:t>3 réduit</w:t>
      </w:r>
      <w:r>
        <w:rPr>
          <w:rFonts w:ascii="Liberation Sans" w:hAnsi="Liberation Sans" w:cs="Liberation Sans"/>
          <w:sz w:val="20"/>
        </w:rPr>
        <w:t> pour un ERP &lt; 300 personnes de type J, R, U ou tribune de stade</w:t>
      </w:r>
    </w:p>
    <w:p w14:paraId="2EB0CF52" w14:textId="77777777" w:rsidR="00061A5F" w:rsidRDefault="00000000">
      <w:pPr>
        <w:pStyle w:val="Standard"/>
        <w:numPr>
          <w:ilvl w:val="0"/>
          <w:numId w:val="8"/>
        </w:numPr>
        <w:tabs>
          <w:tab w:val="left" w:pos="852"/>
        </w:tabs>
        <w:spacing w:after="60"/>
        <w:ind w:left="426" w:hanging="426"/>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b/>
          <w:bCs/>
          <w:sz w:val="20"/>
        </w:rPr>
        <w:t>D</w:t>
      </w:r>
      <w:r>
        <w:rPr>
          <w:rFonts w:ascii="Liberation Sans" w:hAnsi="Liberation Sans" w:cs="Liberation Sans"/>
          <w:b/>
          <w:bCs/>
          <w:sz w:val="20"/>
          <w:vertAlign w:val="subscript"/>
        </w:rPr>
        <w:t>mini</w:t>
      </w:r>
      <w:proofErr w:type="spellEnd"/>
      <w:r>
        <w:rPr>
          <w:rFonts w:ascii="Liberation Sans" w:hAnsi="Liberation Sans" w:cs="Liberation Sans"/>
          <w:b/>
          <w:bCs/>
          <w:sz w:val="20"/>
        </w:rPr>
        <w:t xml:space="preserve"> &gt; D</w:t>
      </w:r>
      <w:r>
        <w:rPr>
          <w:rFonts w:ascii="Liberation Sans" w:hAnsi="Liberation Sans" w:cs="Liberation Sans"/>
          <w:b/>
          <w:bCs/>
          <w:sz w:val="20"/>
          <w:vertAlign w:val="subscript"/>
        </w:rPr>
        <w:t>1 réduit</w:t>
      </w:r>
      <w:r>
        <w:rPr>
          <w:rFonts w:ascii="Liberation Sans" w:hAnsi="Liberation Sans" w:cs="Liberation Sans"/>
          <w:sz w:val="20"/>
        </w:rPr>
        <w:t> pour un ERP &gt; 300 personnes de type J, R, U ou tribune de stade, ou un IGH</w:t>
      </w:r>
    </w:p>
    <w:p w14:paraId="500E35F5" w14:textId="77777777" w:rsidR="00061A5F" w:rsidRDefault="00000000">
      <w:pPr>
        <w:pStyle w:val="Standard"/>
        <w:numPr>
          <w:ilvl w:val="0"/>
          <w:numId w:val="8"/>
        </w:numPr>
        <w:tabs>
          <w:tab w:val="left" w:pos="852"/>
        </w:tabs>
        <w:spacing w:after="60"/>
        <w:ind w:left="426" w:hanging="426"/>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b/>
          <w:bCs/>
          <w:sz w:val="20"/>
        </w:rPr>
        <w:t>D</w:t>
      </w:r>
      <w:r>
        <w:rPr>
          <w:rFonts w:ascii="Liberation Sans" w:hAnsi="Liberation Sans" w:cs="Liberation Sans"/>
          <w:b/>
          <w:bCs/>
          <w:sz w:val="20"/>
          <w:vertAlign w:val="subscript"/>
        </w:rPr>
        <w:t>mini</w:t>
      </w:r>
      <w:proofErr w:type="spellEnd"/>
      <w:r>
        <w:rPr>
          <w:rFonts w:ascii="Liberation Sans" w:hAnsi="Liberation Sans" w:cs="Liberation Sans"/>
          <w:b/>
          <w:bCs/>
          <w:sz w:val="20"/>
        </w:rPr>
        <w:t xml:space="preserve"> &gt; D</w:t>
      </w:r>
      <w:r>
        <w:rPr>
          <w:rFonts w:ascii="Liberation Sans" w:hAnsi="Liberation Sans" w:cs="Liberation Sans"/>
          <w:b/>
          <w:bCs/>
          <w:sz w:val="20"/>
          <w:vertAlign w:val="subscript"/>
        </w:rPr>
        <w:t>4 réduit</w:t>
      </w:r>
      <w:r>
        <w:rPr>
          <w:rFonts w:ascii="Liberation Sans" w:hAnsi="Liberation Sans" w:cs="Liberation Sans"/>
          <w:sz w:val="20"/>
        </w:rPr>
        <w:t> pour un ERP &lt; 300 personnes autre que de type J, R, U ou tribune de stade</w:t>
      </w:r>
    </w:p>
    <w:p w14:paraId="4C38E88C" w14:textId="77777777" w:rsidR="00061A5F" w:rsidRDefault="00000000">
      <w:pPr>
        <w:pStyle w:val="Standard"/>
        <w:numPr>
          <w:ilvl w:val="0"/>
          <w:numId w:val="8"/>
        </w:numPr>
        <w:tabs>
          <w:tab w:val="left" w:pos="852"/>
        </w:tabs>
        <w:spacing w:after="60"/>
        <w:ind w:left="426" w:hanging="426"/>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proofErr w:type="spellStart"/>
      <w:r>
        <w:rPr>
          <w:rFonts w:ascii="Liberation Sans" w:hAnsi="Liberation Sans" w:cs="Liberation Sans"/>
          <w:b/>
          <w:bCs/>
          <w:sz w:val="20"/>
        </w:rPr>
        <w:t>D</w:t>
      </w:r>
      <w:r>
        <w:rPr>
          <w:rFonts w:ascii="Liberation Sans" w:hAnsi="Liberation Sans" w:cs="Liberation Sans"/>
          <w:b/>
          <w:bCs/>
          <w:sz w:val="20"/>
          <w:vertAlign w:val="subscript"/>
        </w:rPr>
        <w:t>mini</w:t>
      </w:r>
      <w:proofErr w:type="spellEnd"/>
      <w:r>
        <w:rPr>
          <w:rFonts w:ascii="Liberation Sans" w:hAnsi="Liberation Sans" w:cs="Liberation Sans"/>
          <w:b/>
          <w:bCs/>
          <w:sz w:val="20"/>
        </w:rPr>
        <w:t xml:space="preserve"> &gt; D</w:t>
      </w:r>
      <w:r>
        <w:rPr>
          <w:rFonts w:ascii="Liberation Sans" w:hAnsi="Liberation Sans" w:cs="Liberation Sans"/>
          <w:b/>
          <w:bCs/>
          <w:sz w:val="20"/>
          <w:vertAlign w:val="subscript"/>
        </w:rPr>
        <w:t>2 réduit</w:t>
      </w:r>
      <w:r>
        <w:rPr>
          <w:rFonts w:ascii="Liberation Sans" w:hAnsi="Liberation Sans" w:cs="Liberation Sans"/>
          <w:sz w:val="20"/>
        </w:rPr>
        <w:t> pour un ERP &gt; 300 personnes autre que de type J, R, U ou tribune de stade</w:t>
      </w:r>
    </w:p>
    <w:p w14:paraId="3E3E15F5" w14:textId="77777777" w:rsidR="00061A5F" w:rsidRDefault="00000000">
      <w:pPr>
        <w:pStyle w:val="Standard"/>
        <w:spacing w:after="180"/>
        <w:ind w:firstLine="425"/>
        <w:rPr>
          <w:rFonts w:hint="eastAsia"/>
        </w:rPr>
      </w:pPr>
      <w:r>
        <w:rPr>
          <w:rFonts w:ascii="Liberation Sans" w:hAnsi="Liberation Sans" w:cs="Liberation Sans"/>
          <w:sz w:val="20"/>
        </w:rPr>
        <w:t xml:space="preserve">Pour les cas 2b à 2e : </w:t>
      </w:r>
      <w:r>
        <w:rPr>
          <w:rFonts w:ascii="Liberation Sans" w:hAnsi="Liberation Sans" w:cs="Liberation Sans"/>
          <w:b/>
          <w:bCs/>
          <w:sz w:val="20"/>
        </w:rPr>
        <w:t>le projet est COMPATIBLE</w:t>
      </w:r>
    </w:p>
    <w:p w14:paraId="6EDD1C56" w14:textId="77777777" w:rsidR="00061A5F" w:rsidRDefault="00000000">
      <w:pPr>
        <w:pStyle w:val="Standard"/>
        <w:numPr>
          <w:ilvl w:val="0"/>
          <w:numId w:val="8"/>
        </w:numPr>
        <w:tabs>
          <w:tab w:val="left" w:pos="851"/>
        </w:tabs>
        <w:ind w:left="425" w:hanging="425"/>
        <w:jc w:val="both"/>
        <w:rPr>
          <w:rFonts w:hint="eastAsia"/>
        </w:rPr>
      </w:pPr>
      <w:r>
        <w:rPr>
          <w:rFonts w:ascii="Wingdings" w:hAnsi="Wingdings" w:cs="Wingdings"/>
          <w:sz w:val="20"/>
          <w:shd w:val="clear" w:color="auto" w:fill="FFFF00"/>
        </w:rPr>
        <w:t></w:t>
      </w:r>
      <w:r>
        <w:rPr>
          <w:rFonts w:ascii="Liberation Sans" w:eastAsia="Liberation Sans" w:hAnsi="Liberation Sans" w:cs="Liberation Sans"/>
          <w:sz w:val="20"/>
        </w:rPr>
        <w:t xml:space="preserve"> </w:t>
      </w:r>
      <w:r>
        <w:rPr>
          <w:rFonts w:ascii="Liberation Sans" w:hAnsi="Liberation Sans" w:cs="Liberation Sans"/>
          <w:sz w:val="20"/>
        </w:rPr>
        <w:t>Dans les autres cas, le projet est atteint par les effets du phénomène réduit : la compatibilité du projet est à déterminer selon le résultat du complément d’analyse au §3 ci-après.</w:t>
      </w:r>
    </w:p>
    <w:p w14:paraId="03888643" w14:textId="77777777" w:rsidR="00075A46" w:rsidRDefault="00075A46">
      <w:pPr>
        <w:rPr>
          <w:rFonts w:ascii="Liberation Sans" w:hAnsi="Liberation Sans" w:cs="Liberation Sans" w:hint="eastAsia"/>
          <w:sz w:val="20"/>
        </w:rPr>
      </w:pPr>
      <w:r>
        <w:rPr>
          <w:rFonts w:ascii="Liberation Sans" w:hAnsi="Liberation Sans" w:cs="Liberation Sans" w:hint="eastAsia"/>
          <w:sz w:val="20"/>
        </w:rPr>
        <w:br w:type="page"/>
      </w:r>
    </w:p>
    <w:p w14:paraId="768470EB" w14:textId="76325234" w:rsidR="00061A5F" w:rsidRDefault="00000000">
      <w:pPr>
        <w:pStyle w:val="Standard"/>
        <w:pageBreakBefore/>
        <w:numPr>
          <w:ilvl w:val="0"/>
          <w:numId w:val="4"/>
        </w:numPr>
        <w:spacing w:after="80"/>
        <w:ind w:left="357" w:hanging="357"/>
        <w:jc w:val="both"/>
        <w:rPr>
          <w:rFonts w:hint="eastAsia"/>
        </w:rPr>
      </w:pPr>
      <w:r>
        <w:rPr>
          <w:rFonts w:ascii="Wingdings" w:hAnsi="Wingdings" w:cs="Wingdings"/>
        </w:rPr>
        <w:lastRenderedPageBreak/>
        <w:t></w:t>
      </w:r>
      <w:r>
        <w:rPr>
          <w:rFonts w:ascii="Liberation Sans" w:eastAsia="Liberation Sans" w:hAnsi="Liberation Sans" w:cs="Liberation Sans"/>
        </w:rPr>
        <w:t xml:space="preserve"> </w:t>
      </w:r>
      <w:r>
        <w:rPr>
          <w:rFonts w:ascii="Liberation Sans" w:hAnsi="Liberation Sans" w:cs="Liberation Sans"/>
          <w:b/>
          <w:bCs/>
        </w:rPr>
        <w:t>Analyse complémentaire de renforcement des bâtis en cas d’incompatibilité résiduelle due à l’atteinte du projet par les effets du phénomène réduit</w:t>
      </w:r>
    </w:p>
    <w:p w14:paraId="51ECEA7F" w14:textId="77777777" w:rsidR="00061A5F" w:rsidRDefault="00000000">
      <w:pPr>
        <w:pStyle w:val="Standard"/>
        <w:spacing w:before="60"/>
        <w:jc w:val="both"/>
        <w:rPr>
          <w:rFonts w:hint="eastAsia"/>
        </w:rPr>
      </w:pPr>
      <w:r>
        <w:rPr>
          <w:rFonts w:ascii="Liberation Sans" w:hAnsi="Liberation Sans" w:cs="Liberation Sans"/>
          <w:sz w:val="20"/>
        </w:rPr>
        <w:t xml:space="preserve">En complément des mesures particulières de protection de la canalisation déjà en place ou prévues au §2, le maître d’ouvrage doit prévoir des mesures particulières de protection des personnes accueillies dans les bâtiments de l’ERP ou IGH. Ces mesures sont décrites dans l’annexe 4 et sont déterminées conformément au guide méthodologique INERIS « Canalisations de transport – Guide de détermination des mesures de protection propres aux bâtiments », </w:t>
      </w:r>
      <w:r w:rsidRPr="00B447EB">
        <w:rPr>
          <w:rFonts w:ascii="Liberation Sans" w:hAnsi="Liberation Sans" w:cs="Liberation Sans"/>
          <w:sz w:val="20"/>
        </w:rPr>
        <w:t>référencé « édition décembre 2016 ».</w:t>
      </w:r>
    </w:p>
    <w:p w14:paraId="08ECDF2F" w14:textId="77777777" w:rsidR="00061A5F" w:rsidRDefault="00061A5F">
      <w:pPr>
        <w:pStyle w:val="Standard"/>
        <w:jc w:val="both"/>
        <w:rPr>
          <w:rFonts w:ascii="Liberation Sans" w:hAnsi="Liberation Sans" w:cs="Liberation Sans" w:hint="eastAsia"/>
          <w:sz w:val="20"/>
        </w:rPr>
      </w:pPr>
    </w:p>
    <w:p w14:paraId="023AC7C6" w14:textId="77777777" w:rsidR="00061A5F" w:rsidRDefault="00000000">
      <w:pPr>
        <w:pStyle w:val="Standard"/>
        <w:jc w:val="both"/>
        <w:rPr>
          <w:rFonts w:ascii="Liberation Sans" w:hAnsi="Liberation Sans" w:cs="Liberation Sans" w:hint="eastAsia"/>
          <w:sz w:val="20"/>
        </w:rPr>
      </w:pPr>
      <w:r>
        <w:rPr>
          <w:rFonts w:ascii="Liberation Sans" w:hAnsi="Liberation Sans" w:cs="Liberation Sans"/>
          <w:sz w:val="20"/>
        </w:rPr>
        <w:t>Dans le cas des extensions mentionné au (1) du §1, la distance d’effets qui détermine, selon le cas, la SUP n°2 ou la SUP n°3 au droit de l’ERP/IGH, est considérée circonscrite au bâti de l’ERP/IGH si les critères de compatibilité mentionnés dans le guide susmentionné sont respectés.</w:t>
      </w:r>
    </w:p>
    <w:p w14:paraId="240EA52A" w14:textId="77777777" w:rsidR="00061A5F" w:rsidRDefault="00061A5F">
      <w:pPr>
        <w:pStyle w:val="Standard"/>
        <w:jc w:val="both"/>
        <w:rPr>
          <w:rFonts w:ascii="Liberation Sans" w:hAnsi="Liberation Sans" w:cs="Liberation Sans" w:hint="eastAsia"/>
          <w:sz w:val="20"/>
        </w:rPr>
      </w:pPr>
    </w:p>
    <w:p w14:paraId="60E2F282" w14:textId="77777777" w:rsidR="00061A5F" w:rsidRDefault="00000000">
      <w:pPr>
        <w:pStyle w:val="Standard"/>
        <w:jc w:val="both"/>
        <w:rPr>
          <w:rFonts w:hint="eastAsia"/>
        </w:rPr>
      </w:pPr>
      <w:r>
        <w:rPr>
          <w:rFonts w:ascii="Liberation Sans" w:hAnsi="Liberation Sans" w:cs="Liberation Sans"/>
          <w:sz w:val="20"/>
          <w:u w:val="single"/>
        </w:rPr>
        <w:t>Nota</w:t>
      </w:r>
      <w:r>
        <w:rPr>
          <w:rFonts w:ascii="Liberation Sans" w:hAnsi="Liberation Sans" w:cs="Liberation Sans"/>
          <w:sz w:val="20"/>
        </w:rPr>
        <w:t> : l’analyse complémentaire prévue au présent §3 et l’annexe 4 associée peuvent n’être ajoutées au dossier qu’après l’obtention de l’avis du transporteur prévu au §4. En outre, cette analyse complémentaire peut être effectuée par l’organisme habilité prévu au §5.</w:t>
      </w:r>
    </w:p>
    <w:p w14:paraId="7D7E432F"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noProof/>
          <w:sz w:val="20"/>
        </w:rPr>
        <mc:AlternateContent>
          <mc:Choice Requires="wps">
            <w:drawing>
              <wp:anchor distT="0" distB="0" distL="114300" distR="114300" simplePos="0" relativeHeight="55" behindDoc="0" locked="0" layoutInCell="1" allowOverlap="1" wp14:anchorId="09447C61" wp14:editId="21D361BF">
                <wp:simplePos x="0" y="0"/>
                <wp:positionH relativeFrom="column">
                  <wp:posOffset>-146685</wp:posOffset>
                </wp:positionH>
                <wp:positionV relativeFrom="paragraph">
                  <wp:posOffset>93980</wp:posOffset>
                </wp:positionV>
                <wp:extent cx="6762750" cy="648000"/>
                <wp:effectExtent l="0" t="0" r="19050" b="19050"/>
                <wp:wrapNone/>
                <wp:docPr id="92" name="Forme libre : forme 92"/>
                <wp:cNvGraphicFramePr/>
                <a:graphic xmlns:a="http://schemas.openxmlformats.org/drawingml/2006/main">
                  <a:graphicData uri="http://schemas.microsoft.com/office/word/2010/wordprocessingShape">
                    <wps:wsp>
                      <wps:cNvSpPr/>
                      <wps:spPr>
                        <a:xfrm>
                          <a:off x="0" y="0"/>
                          <a:ext cx="6762750" cy="6480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000000"/>
                          </a:solidFill>
                          <a:prstDash val="solid"/>
                          <a:miter/>
                        </a:ln>
                      </wps:spPr>
                      <wps:txbx>
                        <w:txbxContent>
                          <w:p w14:paraId="109D17B1" w14:textId="77777777" w:rsidR="00061A5F" w:rsidRDefault="00061A5F">
                            <w:pPr>
                              <w:rPr>
                                <w:rFonts w:hint="eastAsia"/>
                              </w:rPr>
                            </w:pP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w14:anchorId="09447C61" id="Forme libre : forme 92" o:spid="_x0000_s1026" style="position:absolute;margin-left:-11.55pt;margin-top:7.4pt;width:532.5pt;height:51pt;z-index: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" adj="-11796480,,5400" path="m,l21600,r,21600l,21600,,xe" filled="f" strokeweight=".26mm">
                <v:stroke joinstyle="miter" endcap="square"/>
                <v:formulas/>
                <v:path arrowok="t" o:connecttype="custom" o:connectlocs="3381375,0;6762750,324000;3381375,648000;0,324000" o:connectangles="270,0,90,180" textboxrect="0,0,21600,21600"/>
                <v:textbox inset="4.41mm,2.29mm,4.41mm,2.29mm">
                  <w:txbxContent>
                    <w:p w14:paraId="109D17B1" w14:textId="77777777" w:rsidR="00061A5F" w:rsidRDefault="00061A5F">
                      <w:pPr>
                        <w:rPr>
                          <w:rFonts w:hint="eastAsia"/>
                        </w:rPr>
                      </w:pPr>
                    </w:p>
                  </w:txbxContent>
                </v:textbox>
              </v:shape>
            </w:pict>
          </mc:Fallback>
        </mc:AlternateContent>
      </w:r>
    </w:p>
    <w:p w14:paraId="6FE459BB"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Signature du maître d’ouvrage ou de son représentant et nom du signataire (se rapportant aux parties 1, 2 et 3 de l’analyse de compatibilité) :</w:t>
      </w:r>
    </w:p>
    <w:p w14:paraId="26535E49" w14:textId="77777777" w:rsidR="00061A5F" w:rsidRDefault="00000000">
      <w:pPr>
        <w:pStyle w:val="Standard"/>
        <w:spacing w:before="40"/>
        <w:rPr>
          <w:rFonts w:ascii="Liberation Sans" w:hAnsi="Liberation Sans" w:cs="Liberation Sans" w:hint="eastAsia"/>
          <w:sz w:val="20"/>
        </w:rPr>
      </w:pPr>
      <w:r>
        <w:rPr>
          <w:rFonts w:ascii="Liberation Sans" w:hAnsi="Liberation Sans" w:cs="Liberation Sans"/>
          <w:sz w:val="20"/>
        </w:rPr>
        <w:t>Date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Nom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Signature :</w:t>
      </w:r>
    </w:p>
    <w:p w14:paraId="6754DA07" w14:textId="77777777" w:rsidR="00061A5F" w:rsidRDefault="00061A5F">
      <w:pPr>
        <w:pStyle w:val="Standard"/>
        <w:jc w:val="both"/>
        <w:rPr>
          <w:rFonts w:ascii="Liberation Sans" w:hAnsi="Liberation Sans" w:cs="Liberation Sans" w:hint="eastAsia"/>
          <w:sz w:val="20"/>
        </w:rPr>
      </w:pPr>
    </w:p>
    <w:p w14:paraId="3D3D31A2" w14:textId="77777777" w:rsidR="00061A5F" w:rsidRDefault="00000000">
      <w:pPr>
        <w:pStyle w:val="Standard"/>
        <w:numPr>
          <w:ilvl w:val="0"/>
          <w:numId w:val="4"/>
        </w:numPr>
        <w:spacing w:after="80"/>
        <w:ind w:left="357" w:hanging="357"/>
        <w:jc w:val="both"/>
        <w:rPr>
          <w:rFonts w:ascii="Liberation Sans" w:hAnsi="Liberation Sans" w:cs="Liberation Sans" w:hint="eastAsia"/>
          <w:b/>
          <w:bCs/>
        </w:rPr>
      </w:pPr>
      <w:r>
        <w:rPr>
          <w:rFonts w:ascii="Liberation Sans" w:hAnsi="Liberation Sans" w:cs="Liberation Sans"/>
          <w:b/>
          <w:bCs/>
        </w:rPr>
        <w:t>Avis du transporteur concerné sur l’analyse de compatibilité établie par le maître d’ouvrage d’ERP-IGH</w:t>
      </w:r>
    </w:p>
    <w:p w14:paraId="6FA5EDB0" w14:textId="77777777" w:rsidR="00061A5F" w:rsidRDefault="00000000">
      <w:pPr>
        <w:pStyle w:val="Standard"/>
        <w:spacing w:before="60" w:after="60"/>
        <w:jc w:val="both"/>
        <w:rPr>
          <w:rFonts w:ascii="Liberation Sans" w:hAnsi="Liberation Sans" w:cs="Liberation Sans" w:hint="eastAsia"/>
          <w:sz w:val="20"/>
        </w:rPr>
      </w:pPr>
      <w:r>
        <w:rPr>
          <w:rFonts w:ascii="Liberation Sans" w:hAnsi="Liberation Sans" w:cs="Liberation Sans"/>
          <w:sz w:val="20"/>
        </w:rPr>
        <w:t>L’avis du transporteur est fourni au maître d’ouvrage dans les 2 mois de la demande faite par ce dernier. A défaut de réponse dans ce délai, il est réputé défavorable.</w:t>
      </w:r>
    </w:p>
    <w:p w14:paraId="4B9C70F9" w14:textId="77777777" w:rsidR="00061A5F" w:rsidRDefault="00000000">
      <w:pPr>
        <w:pStyle w:val="Standard"/>
        <w:numPr>
          <w:ilvl w:val="0"/>
          <w:numId w:val="20"/>
        </w:numPr>
        <w:spacing w:after="60"/>
        <w:ind w:left="357" w:hanging="357"/>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r>
        <w:rPr>
          <w:rFonts w:ascii="Liberation Sans" w:hAnsi="Liberation Sans" w:cs="Liberation Sans"/>
          <w:sz w:val="20"/>
        </w:rPr>
        <w:t>avis favorable</w:t>
      </w:r>
    </w:p>
    <w:p w14:paraId="4BA6D9FF" w14:textId="77777777" w:rsidR="00061A5F" w:rsidRDefault="00000000">
      <w:pPr>
        <w:pStyle w:val="Standard"/>
        <w:numPr>
          <w:ilvl w:val="0"/>
          <w:numId w:val="9"/>
        </w:numPr>
        <w:spacing w:after="120"/>
        <w:jc w:val="both"/>
        <w:rPr>
          <w:rFonts w:hint="eastAsia"/>
        </w:rPr>
      </w:pPr>
      <w:r>
        <w:rPr>
          <w:rFonts w:ascii="Wingdings" w:hAnsi="Wingdings" w:cs="Wingdings"/>
          <w:sz w:val="20"/>
          <w:shd w:val="clear" w:color="auto" w:fill="FFFF00"/>
        </w:rPr>
        <w:t></w:t>
      </w:r>
      <w:r>
        <w:rPr>
          <w:rFonts w:ascii="Liberation Sans" w:eastAsia="Liberation Sans" w:hAnsi="Liberation Sans" w:cs="Liberation Sans"/>
          <w:sz w:val="20"/>
        </w:rPr>
        <w:t xml:space="preserve"> </w:t>
      </w:r>
      <w:r>
        <w:rPr>
          <w:rFonts w:ascii="Liberation Sans" w:hAnsi="Liberation Sans" w:cs="Liberation Sans"/>
          <w:sz w:val="20"/>
        </w:rPr>
        <w:t>avis défavorable motivé par l’annexe 5</w:t>
      </w:r>
    </w:p>
    <w:p w14:paraId="5B05E7CC" w14:textId="77777777" w:rsidR="00061A5F" w:rsidRDefault="00000000">
      <w:pPr>
        <w:pStyle w:val="Standard"/>
        <w:rPr>
          <w:rFonts w:ascii="Liberation Sans" w:hAnsi="Liberation Sans" w:cs="Liberation Sans" w:hint="eastAsia"/>
          <w:sz w:val="20"/>
        </w:rPr>
      </w:pPr>
      <w:r>
        <w:rPr>
          <w:rFonts w:ascii="Liberation Sans" w:hAnsi="Liberation Sans" w:cs="Liberation Sans"/>
          <w:sz w:val="20"/>
        </w:rPr>
        <w:t>Le motif de l’avis défavorable développé dans l’annexe 5 s’appuie sur l’un des arguments suivants :</w:t>
      </w:r>
    </w:p>
    <w:p w14:paraId="0C9A66FD" w14:textId="77777777" w:rsidR="00061A5F" w:rsidRDefault="00000000">
      <w:pPr>
        <w:pStyle w:val="Standard"/>
        <w:numPr>
          <w:ilvl w:val="0"/>
          <w:numId w:val="21"/>
        </w:numPr>
        <w:jc w:val="both"/>
        <w:rPr>
          <w:rFonts w:ascii="Liberation Sans" w:hAnsi="Liberation Sans" w:cs="Liberation Sans" w:hint="eastAsia"/>
          <w:sz w:val="20"/>
        </w:rPr>
      </w:pPr>
      <w:proofErr w:type="gramStart"/>
      <w:r>
        <w:rPr>
          <w:rFonts w:ascii="Liberation Sans" w:hAnsi="Liberation Sans" w:cs="Liberation Sans"/>
          <w:sz w:val="20"/>
        </w:rPr>
        <w:t>l’un</w:t>
      </w:r>
      <w:proofErr w:type="gramEnd"/>
      <w:r>
        <w:rPr>
          <w:rFonts w:ascii="Liberation Sans" w:hAnsi="Liberation Sans" w:cs="Liberation Sans"/>
          <w:sz w:val="20"/>
        </w:rPr>
        <w:t xml:space="preserve"> ou plusieurs des résultats de l’analyse effectuée au §1 ou au §2 ci-dessus n’est pas conforme aux éléments de l’étude de dangers de la canalisation fournis par le transporteur au maître d’ouvrage ;</w:t>
      </w:r>
    </w:p>
    <w:p w14:paraId="1A6D9E47" w14:textId="77777777" w:rsidR="00061A5F" w:rsidRDefault="00000000">
      <w:pPr>
        <w:pStyle w:val="Standard"/>
        <w:numPr>
          <w:ilvl w:val="0"/>
          <w:numId w:val="10"/>
        </w:numPr>
        <w:jc w:val="both"/>
        <w:rPr>
          <w:rFonts w:ascii="Liberation Sans" w:hAnsi="Liberation Sans" w:cs="Liberation Sans" w:hint="eastAsia"/>
          <w:sz w:val="20"/>
        </w:rPr>
      </w:pPr>
      <w:proofErr w:type="gramStart"/>
      <w:r>
        <w:rPr>
          <w:rFonts w:ascii="Liberation Sans" w:hAnsi="Liberation Sans" w:cs="Liberation Sans"/>
          <w:sz w:val="20"/>
        </w:rPr>
        <w:t>le</w:t>
      </w:r>
      <w:proofErr w:type="gramEnd"/>
      <w:r>
        <w:rPr>
          <w:rFonts w:ascii="Liberation Sans" w:hAnsi="Liberation Sans" w:cs="Liberation Sans"/>
          <w:sz w:val="20"/>
        </w:rPr>
        <w:t xml:space="preserve"> transporteur ne dispose pas des compétences pour apprécier la pertinence de l’analyse complémentaire effectuée au §3</w:t>
      </w:r>
    </w:p>
    <w:p w14:paraId="7A5DBD44" w14:textId="291D97B8" w:rsidR="00061A5F" w:rsidRDefault="00000000">
      <w:pPr>
        <w:pStyle w:val="Standard"/>
        <w:rPr>
          <w:rFonts w:ascii="Liberation Sans" w:hAnsi="Liberation Sans" w:cs="Liberation Sans" w:hint="eastAsia"/>
          <w:i/>
          <w:iCs/>
          <w:color w:val="333399"/>
          <w:sz w:val="20"/>
        </w:rPr>
      </w:pPr>
      <w:r>
        <w:rPr>
          <w:rFonts w:ascii="Liberation Sans" w:hAnsi="Liberation Sans" w:cs="Liberation Sans"/>
          <w:i/>
          <w:iCs/>
          <w:color w:val="333399"/>
          <w:sz w:val="20"/>
        </w:rPr>
        <w:t>En cas d’avis défavorable du transporteur, le maître d’ouvrage peut saisir un organisme habilité afin d’expertiser l’analyse de compatibilité, conformément au §5 ci-après.</w:t>
      </w:r>
    </w:p>
    <w:p w14:paraId="7932D1BC" w14:textId="6F523878" w:rsidR="00061A5F" w:rsidRDefault="00B447EB">
      <w:pPr>
        <w:pStyle w:val="Standard"/>
        <w:rPr>
          <w:rFonts w:ascii="Liberation Sans" w:hAnsi="Liberation Sans" w:cs="Liberation Sans" w:hint="eastAsia"/>
          <w:i/>
          <w:iCs/>
          <w:color w:val="333399"/>
          <w:sz w:val="20"/>
        </w:rPr>
      </w:pPr>
      <w:r>
        <w:rPr>
          <w:rFonts w:ascii="Liberation Sans" w:hAnsi="Liberation Sans" w:cs="Liberation Sans"/>
          <w:i/>
          <w:iCs/>
          <w:noProof/>
          <w:color w:val="333399"/>
          <w:sz w:val="20"/>
        </w:rPr>
        <mc:AlternateContent>
          <mc:Choice Requires="wps">
            <w:drawing>
              <wp:anchor distT="0" distB="0" distL="114300" distR="114300" simplePos="0" relativeHeight="56" behindDoc="0" locked="0" layoutInCell="1" allowOverlap="1" wp14:anchorId="57CDD718" wp14:editId="3CCE228B">
                <wp:simplePos x="0" y="0"/>
                <wp:positionH relativeFrom="column">
                  <wp:posOffset>-146685</wp:posOffset>
                </wp:positionH>
                <wp:positionV relativeFrom="paragraph">
                  <wp:posOffset>42545</wp:posOffset>
                </wp:positionV>
                <wp:extent cx="6775450" cy="619125"/>
                <wp:effectExtent l="0" t="0" r="25400" b="28575"/>
                <wp:wrapNone/>
                <wp:docPr id="93" name="Forme libre : forme 93"/>
                <wp:cNvGraphicFramePr/>
                <a:graphic xmlns:a="http://schemas.openxmlformats.org/drawingml/2006/main">
                  <a:graphicData uri="http://schemas.microsoft.com/office/word/2010/wordprocessingShape">
                    <wps:wsp>
                      <wps:cNvSpPr/>
                      <wps:spPr>
                        <a:xfrm>
                          <a:off x="0" y="0"/>
                          <a:ext cx="6775450" cy="619125"/>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000000"/>
                          </a:solidFill>
                          <a:prstDash val="solid"/>
                          <a:miter/>
                        </a:ln>
                      </wps:spPr>
                      <wps:txbx>
                        <w:txbxContent>
                          <w:p w14:paraId="77E7D6D6" w14:textId="77777777" w:rsidR="00061A5F" w:rsidRDefault="00061A5F">
                            <w:pPr>
                              <w:rPr>
                                <w:rFonts w:hint="eastAsia"/>
                              </w:rPr>
                            </w:pP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w14:anchorId="57CDD718" id="Forme libre : forme 93" o:spid="_x0000_s1027" style="position:absolute;margin-left:-11.55pt;margin-top:3.35pt;width:533.5pt;height:48.75pt;z-index: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" adj="-11796480,,5400" path="m,l21600,r,21600l,21600,,xe" filled="f" strokeweight=".26mm">
                <v:stroke joinstyle="miter" endcap="square"/>
                <v:formulas/>
                <v:path arrowok="t" o:connecttype="custom" o:connectlocs="3387725,0;6775450,309563;3387725,619125;0,309563" o:connectangles="270,0,90,180" textboxrect="0,0,21600,21600"/>
                <v:textbox inset="4.41mm,2.29mm,4.41mm,2.29mm">
                  <w:txbxContent>
                    <w:p w14:paraId="77E7D6D6" w14:textId="77777777" w:rsidR="00061A5F" w:rsidRDefault="00061A5F">
                      <w:pPr>
                        <w:rPr>
                          <w:rFonts w:hint="eastAsia"/>
                        </w:rPr>
                      </w:pPr>
                    </w:p>
                  </w:txbxContent>
                </v:textbox>
              </v:shape>
            </w:pict>
          </mc:Fallback>
        </mc:AlternateContent>
      </w:r>
    </w:p>
    <w:p w14:paraId="2DA51933"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Signature du transporteur ou de son représentant et nom du signataire (se rapportant à la partie 4 de l’analyse de compatibilité) :</w:t>
      </w:r>
    </w:p>
    <w:p w14:paraId="31C495C4" w14:textId="77777777" w:rsidR="00061A5F" w:rsidRDefault="00000000">
      <w:pPr>
        <w:pStyle w:val="Standard"/>
        <w:spacing w:before="40"/>
        <w:rPr>
          <w:rFonts w:ascii="Liberation Sans" w:hAnsi="Liberation Sans" w:cs="Liberation Sans" w:hint="eastAsia"/>
          <w:sz w:val="20"/>
        </w:rPr>
      </w:pPr>
      <w:r>
        <w:rPr>
          <w:rFonts w:ascii="Liberation Sans" w:hAnsi="Liberation Sans" w:cs="Liberation Sans"/>
          <w:sz w:val="20"/>
        </w:rPr>
        <w:t>Date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Nom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Signature :</w:t>
      </w:r>
    </w:p>
    <w:p w14:paraId="5DB24AAE" w14:textId="77777777" w:rsidR="00061A5F" w:rsidRDefault="00061A5F">
      <w:pPr>
        <w:pStyle w:val="Standard"/>
        <w:spacing w:after="60"/>
        <w:rPr>
          <w:rFonts w:ascii="Liberation Sans" w:hAnsi="Liberation Sans" w:cs="Liberation Sans" w:hint="eastAsia"/>
          <w:sz w:val="20"/>
        </w:rPr>
      </w:pPr>
    </w:p>
    <w:p w14:paraId="1BE7E42F" w14:textId="77777777" w:rsidR="00061A5F" w:rsidRDefault="00000000">
      <w:pPr>
        <w:pStyle w:val="Standard"/>
        <w:numPr>
          <w:ilvl w:val="0"/>
          <w:numId w:val="4"/>
        </w:numPr>
        <w:spacing w:after="80"/>
        <w:ind w:left="357" w:hanging="357"/>
        <w:jc w:val="both"/>
        <w:rPr>
          <w:rFonts w:ascii="Liberation Sans" w:hAnsi="Liberation Sans" w:cs="Liberation Sans" w:hint="eastAsia"/>
          <w:b/>
          <w:bCs/>
        </w:rPr>
      </w:pPr>
      <w:r>
        <w:rPr>
          <w:rFonts w:ascii="Liberation Sans" w:hAnsi="Liberation Sans" w:cs="Liberation Sans"/>
          <w:b/>
          <w:bCs/>
        </w:rPr>
        <w:t>Expertise de l’analyse de compatibilité par l’organisme habilité</w:t>
      </w:r>
    </w:p>
    <w:p w14:paraId="2A2992ED" w14:textId="77777777" w:rsidR="00061A5F" w:rsidRDefault="00000000">
      <w:pPr>
        <w:pStyle w:val="Standard"/>
        <w:rPr>
          <w:rFonts w:ascii="Liberation Sans" w:hAnsi="Liberation Sans" w:cs="Liberation Sans" w:hint="eastAsia"/>
          <w:sz w:val="20"/>
        </w:rPr>
      </w:pPr>
      <w:r>
        <w:rPr>
          <w:rFonts w:ascii="Liberation Sans" w:hAnsi="Liberation Sans" w:cs="Liberation Sans"/>
          <w:sz w:val="20"/>
        </w:rPr>
        <w:t>Le résultat de l’expertise de l’analyse de compatibilité est fourni au maître d’ouvrage, motivé par le rapport d’expertise en annexe 6.</w:t>
      </w:r>
    </w:p>
    <w:p w14:paraId="17F65C40" w14:textId="77777777" w:rsidR="00061A5F" w:rsidRDefault="00000000">
      <w:pPr>
        <w:pStyle w:val="Standard"/>
        <w:jc w:val="both"/>
        <w:rPr>
          <w:rFonts w:ascii="Liberation Sans" w:hAnsi="Liberation Sans" w:cs="Liberation Sans" w:hint="eastAsia"/>
          <w:sz w:val="20"/>
        </w:rPr>
      </w:pPr>
      <w:r>
        <w:rPr>
          <w:rFonts w:ascii="Liberation Sans" w:hAnsi="Liberation Sans" w:cs="Liberation Sans"/>
          <w:noProof/>
          <w:sz w:val="20"/>
        </w:rPr>
        <mc:AlternateContent>
          <mc:Choice Requires="wps">
            <w:drawing>
              <wp:anchor distT="0" distB="0" distL="114300" distR="114300" simplePos="0" relativeHeight="57" behindDoc="0" locked="0" layoutInCell="1" allowOverlap="1" wp14:anchorId="32B9949D" wp14:editId="6FB3F4E1">
                <wp:simplePos x="0" y="0"/>
                <wp:positionH relativeFrom="column">
                  <wp:posOffset>-146685</wp:posOffset>
                </wp:positionH>
                <wp:positionV relativeFrom="paragraph">
                  <wp:posOffset>83185</wp:posOffset>
                </wp:positionV>
                <wp:extent cx="6781800" cy="667080"/>
                <wp:effectExtent l="0" t="0" r="19050" b="19050"/>
                <wp:wrapNone/>
                <wp:docPr id="94" name="Forme libre : forme 94"/>
                <wp:cNvGraphicFramePr/>
                <a:graphic xmlns:a="http://schemas.openxmlformats.org/drawingml/2006/main">
                  <a:graphicData uri="http://schemas.microsoft.com/office/word/2010/wordprocessingShape">
                    <wps:wsp>
                      <wps:cNvSpPr/>
                      <wps:spPr>
                        <a:xfrm>
                          <a:off x="0" y="0"/>
                          <a:ext cx="6781800" cy="6670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000000"/>
                          </a:solidFill>
                          <a:prstDash val="solid"/>
                          <a:miter/>
                        </a:ln>
                      </wps:spPr>
                      <wps:txbx>
                        <w:txbxContent>
                          <w:p w14:paraId="1F55741E" w14:textId="77777777" w:rsidR="00061A5F" w:rsidRDefault="00061A5F">
                            <w:pPr>
                              <w:rPr>
                                <w:rFonts w:hint="eastAsia"/>
                              </w:rPr>
                            </w:pP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w14:anchorId="32B9949D" id="Forme libre : forme 94" o:spid="_x0000_s1028" style="position:absolute;left:0;text-align:left;margin-left:-11.55pt;margin-top:6.55pt;width:534pt;height:52.55pt;z-index: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" adj="-11796480,,5400" path="m,l21600,r,21600l,21600,,xe" filled="f" strokeweight=".26mm">
                <v:stroke joinstyle="miter" endcap="square"/>
                <v:formulas/>
                <v:path arrowok="t" o:connecttype="custom" o:connectlocs="3390900,0;6781800,333540;3390900,667080;0,333540" o:connectangles="270,0,90,180" textboxrect="0,0,21600,21600"/>
                <v:textbox inset="4.41mm,2.29mm,4.41mm,2.29mm">
                  <w:txbxContent>
                    <w:p w14:paraId="1F55741E" w14:textId="77777777" w:rsidR="00061A5F" w:rsidRDefault="00061A5F">
                      <w:pPr>
                        <w:rPr>
                          <w:rFonts w:hint="eastAsia"/>
                        </w:rPr>
                      </w:pPr>
                    </w:p>
                  </w:txbxContent>
                </v:textbox>
              </v:shape>
            </w:pict>
          </mc:Fallback>
        </mc:AlternateContent>
      </w:r>
    </w:p>
    <w:p w14:paraId="613DC808"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Signature de l’organisme habilité ou de son représentant et nom du signataire (se rapportant à la partie 5 de l’analyse de compatibilité) :</w:t>
      </w:r>
    </w:p>
    <w:p w14:paraId="1A2FD15F" w14:textId="77777777" w:rsidR="00061A5F" w:rsidRDefault="00000000">
      <w:pPr>
        <w:pStyle w:val="Standard"/>
        <w:spacing w:before="40"/>
        <w:rPr>
          <w:rFonts w:ascii="Liberation Sans" w:hAnsi="Liberation Sans" w:cs="Liberation Sans" w:hint="eastAsia"/>
          <w:sz w:val="20"/>
        </w:rPr>
      </w:pPr>
      <w:r>
        <w:rPr>
          <w:rFonts w:ascii="Liberation Sans" w:hAnsi="Liberation Sans" w:cs="Liberation Sans"/>
          <w:sz w:val="20"/>
        </w:rPr>
        <w:t>Date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Nom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Signature :</w:t>
      </w:r>
    </w:p>
    <w:p w14:paraId="377FE3A8" w14:textId="77777777" w:rsidR="00061A5F" w:rsidRDefault="00061A5F">
      <w:pPr>
        <w:pStyle w:val="Standard"/>
        <w:spacing w:after="60"/>
        <w:rPr>
          <w:rFonts w:ascii="Liberation Sans" w:hAnsi="Liberation Sans" w:cs="Liberation Sans" w:hint="eastAsia"/>
          <w:sz w:val="20"/>
        </w:rPr>
      </w:pPr>
    </w:p>
    <w:p w14:paraId="404D7C13" w14:textId="77777777" w:rsidR="00061A5F" w:rsidRDefault="00000000">
      <w:pPr>
        <w:pStyle w:val="Standard"/>
        <w:numPr>
          <w:ilvl w:val="0"/>
          <w:numId w:val="4"/>
        </w:numPr>
        <w:spacing w:after="80"/>
        <w:ind w:left="357" w:hanging="357"/>
        <w:jc w:val="both"/>
        <w:rPr>
          <w:rFonts w:ascii="Liberation Sans" w:hAnsi="Liberation Sans" w:cs="Liberation Sans" w:hint="eastAsia"/>
          <w:b/>
          <w:bCs/>
        </w:rPr>
      </w:pPr>
      <w:r>
        <w:rPr>
          <w:rFonts w:ascii="Liberation Sans" w:hAnsi="Liberation Sans" w:cs="Liberation Sans"/>
          <w:b/>
          <w:bCs/>
        </w:rPr>
        <w:t>Avis du préfet</w:t>
      </w:r>
    </w:p>
    <w:p w14:paraId="779DA8C9" w14:textId="77777777" w:rsidR="00061A5F" w:rsidRDefault="00000000">
      <w:pPr>
        <w:pStyle w:val="Standard"/>
        <w:spacing w:before="120" w:after="120"/>
        <w:rPr>
          <w:rFonts w:ascii="Liberation Sans" w:hAnsi="Liberation Sans" w:cs="Liberation Sans" w:hint="eastAsia"/>
          <w:sz w:val="20"/>
        </w:rPr>
      </w:pPr>
      <w:r>
        <w:rPr>
          <w:rFonts w:ascii="Liberation Sans" w:hAnsi="Liberation Sans" w:cs="Liberation Sans"/>
          <w:sz w:val="20"/>
        </w:rPr>
        <w:t>L’avis du préfet est fourni au maître d’ouvrage dans les 2 mois de la demande faite par ce dernier. A défaut de réponse dans ce délai, il est réputé défavorable. Cet avis est motivé par l’annexe 7 lorsqu’il est contraire aux conclusions de l’organisme habilité.</w:t>
      </w:r>
    </w:p>
    <w:p w14:paraId="76611696" w14:textId="77777777" w:rsidR="00061A5F" w:rsidRDefault="00000000">
      <w:pPr>
        <w:pStyle w:val="Standard"/>
        <w:numPr>
          <w:ilvl w:val="0"/>
          <w:numId w:val="22"/>
        </w:numPr>
        <w:spacing w:after="60"/>
        <w:ind w:left="357" w:hanging="357"/>
        <w:jc w:val="both"/>
        <w:rPr>
          <w:rFonts w:hint="eastAsia"/>
        </w:rPr>
      </w:pPr>
      <w:r>
        <w:rPr>
          <w:rFonts w:ascii="Wingdings" w:hAnsi="Wingdings" w:cs="Wingdings"/>
          <w:sz w:val="20"/>
          <w:shd w:val="clear" w:color="auto" w:fill="00FF00"/>
        </w:rPr>
        <w:t></w:t>
      </w:r>
      <w:r>
        <w:rPr>
          <w:rFonts w:ascii="Liberation Sans" w:eastAsia="Liberation Sans" w:hAnsi="Liberation Sans" w:cs="Liberation Sans"/>
          <w:sz w:val="20"/>
        </w:rPr>
        <w:t xml:space="preserve"> </w:t>
      </w:r>
      <w:r>
        <w:rPr>
          <w:rFonts w:ascii="Liberation Sans" w:hAnsi="Liberation Sans" w:cs="Liberation Sans"/>
          <w:sz w:val="20"/>
        </w:rPr>
        <w:t>avis favorable</w:t>
      </w:r>
    </w:p>
    <w:p w14:paraId="05AC642B" w14:textId="77777777" w:rsidR="00061A5F" w:rsidRDefault="00000000">
      <w:pPr>
        <w:pStyle w:val="Standard"/>
        <w:numPr>
          <w:ilvl w:val="0"/>
          <w:numId w:val="11"/>
        </w:numPr>
        <w:spacing w:after="120"/>
        <w:jc w:val="both"/>
        <w:rPr>
          <w:rFonts w:hint="eastAsia"/>
        </w:rPr>
      </w:pPr>
      <w:r>
        <w:rPr>
          <w:noProof/>
        </w:rPr>
        <mc:AlternateContent>
          <mc:Choice Requires="wps">
            <w:drawing>
              <wp:anchor distT="0" distB="0" distL="114300" distR="114300" simplePos="0" relativeHeight="58" behindDoc="0" locked="0" layoutInCell="1" allowOverlap="1" wp14:anchorId="1DA76DAE" wp14:editId="4A10F587">
                <wp:simplePos x="0" y="0"/>
                <wp:positionH relativeFrom="column">
                  <wp:posOffset>-146685</wp:posOffset>
                </wp:positionH>
                <wp:positionV relativeFrom="paragraph">
                  <wp:posOffset>180975</wp:posOffset>
                </wp:positionV>
                <wp:extent cx="6775450" cy="800280"/>
                <wp:effectExtent l="0" t="0" r="25400" b="19050"/>
                <wp:wrapNone/>
                <wp:docPr id="95" name="Forme libre : forme 95"/>
                <wp:cNvGraphicFramePr/>
                <a:graphic xmlns:a="http://schemas.openxmlformats.org/drawingml/2006/main">
                  <a:graphicData uri="http://schemas.microsoft.com/office/word/2010/wordprocessingShape">
                    <wps:wsp>
                      <wps:cNvSpPr/>
                      <wps:spPr>
                        <a:xfrm>
                          <a:off x="0" y="0"/>
                          <a:ext cx="6775450" cy="800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000000"/>
                          </a:solidFill>
                          <a:prstDash val="solid"/>
                          <a:miter/>
                        </a:ln>
                      </wps:spPr>
                      <wps:txbx>
                        <w:txbxContent>
                          <w:p w14:paraId="3C068117" w14:textId="77777777" w:rsidR="00061A5F" w:rsidRDefault="00061A5F">
                            <w:pPr>
                              <w:rPr>
                                <w:rFonts w:hint="eastAsia"/>
                              </w:rPr>
                            </w:pP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w14:anchorId="1DA76DAE" id="Forme libre : forme 95" o:spid="_x0000_s1029" style="position:absolute;left:0;text-align:left;margin-left:-11.55pt;margin-top:14.25pt;width:533.5pt;height:63pt;z-index: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" adj="-11796480,,5400" path="m,l21600,r,21600l,21600,,xe" filled="f" strokeweight=".26mm">
                <v:stroke joinstyle="miter" endcap="square"/>
                <v:formulas/>
                <v:path arrowok="t" o:connecttype="custom" o:connectlocs="3387725,0;6775450,400140;3387725,800280;0,400140" o:connectangles="270,0,90,180" textboxrect="0,0,21600,21600"/>
                <v:textbox inset="4.41mm,2.29mm,4.41mm,2.29mm">
                  <w:txbxContent>
                    <w:p w14:paraId="3C068117" w14:textId="77777777" w:rsidR="00061A5F" w:rsidRDefault="00061A5F">
                      <w:pPr>
                        <w:rPr>
                          <w:rFonts w:hint="eastAsia"/>
                        </w:rPr>
                      </w:pPr>
                    </w:p>
                  </w:txbxContent>
                </v:textbox>
              </v:shape>
            </w:pict>
          </mc:Fallback>
        </mc:AlternateContent>
      </w:r>
      <w:r>
        <w:rPr>
          <w:rFonts w:ascii="Wingdings" w:eastAsia="Liberation Sans" w:hAnsi="Wingdings" w:cs="Wingdings"/>
          <w:sz w:val="20"/>
          <w:shd w:val="clear" w:color="auto" w:fill="00FF00"/>
        </w:rPr>
        <w:t></w:t>
      </w:r>
      <w:r>
        <w:rPr>
          <w:rFonts w:ascii="Liberation Sans" w:eastAsia="Liberation Sans" w:hAnsi="Liberation Sans" w:cs="Liberation Sans"/>
          <w:sz w:val="20"/>
        </w:rPr>
        <w:t xml:space="preserve"> </w:t>
      </w:r>
      <w:r>
        <w:rPr>
          <w:rFonts w:ascii="Liberation Sans" w:hAnsi="Liberation Sans" w:cs="Liberation Sans"/>
          <w:sz w:val="20"/>
        </w:rPr>
        <w:t>avis défavorable</w:t>
      </w:r>
    </w:p>
    <w:p w14:paraId="418B79D9" w14:textId="77777777" w:rsidR="00061A5F" w:rsidRDefault="00000000">
      <w:pPr>
        <w:pStyle w:val="Standard"/>
        <w:rPr>
          <w:rFonts w:ascii="Liberation Sans" w:hAnsi="Liberation Sans" w:cs="Liberation Sans" w:hint="eastAsia"/>
          <w:b/>
          <w:bCs/>
          <w:sz w:val="20"/>
        </w:rPr>
      </w:pPr>
      <w:r>
        <w:rPr>
          <w:rFonts w:ascii="Liberation Sans" w:hAnsi="Liberation Sans" w:cs="Liberation Sans"/>
          <w:b/>
          <w:bCs/>
          <w:sz w:val="20"/>
        </w:rPr>
        <w:t>Signature du préfet ou de son représentant et nom du signataire (se rapportant à la partie 6 de l’analyse de compatibilité) :</w:t>
      </w:r>
    </w:p>
    <w:p w14:paraId="1ECE4477" w14:textId="77777777" w:rsidR="00061A5F" w:rsidRDefault="00000000">
      <w:pPr>
        <w:pStyle w:val="Standard"/>
        <w:spacing w:before="60"/>
        <w:rPr>
          <w:rFonts w:ascii="Liberation Sans" w:hAnsi="Liberation Sans" w:cs="Liberation Sans" w:hint="eastAsia"/>
          <w:sz w:val="20"/>
        </w:rPr>
      </w:pPr>
      <w:r>
        <w:rPr>
          <w:rFonts w:ascii="Liberation Sans" w:hAnsi="Liberation Sans" w:cs="Liberation Sans"/>
          <w:sz w:val="20"/>
        </w:rPr>
        <w:t>Date :</w:t>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r>
      <w:r>
        <w:rPr>
          <w:rFonts w:ascii="Liberation Sans" w:hAnsi="Liberation Sans" w:cs="Liberation Sans"/>
          <w:sz w:val="20"/>
        </w:rPr>
        <w:tab/>
        <w:t>Nom :</w:t>
      </w:r>
    </w:p>
    <w:p w14:paraId="6A253968" w14:textId="77777777" w:rsidR="00061A5F" w:rsidRDefault="00000000">
      <w:pPr>
        <w:pStyle w:val="Standard"/>
        <w:spacing w:before="60"/>
        <w:rPr>
          <w:rFonts w:ascii="Liberation Sans" w:hAnsi="Liberation Sans" w:cs="Liberation Sans" w:hint="eastAsia"/>
          <w:sz w:val="20"/>
        </w:rPr>
      </w:pPr>
      <w:r>
        <w:rPr>
          <w:rFonts w:ascii="Liberation Sans" w:hAnsi="Liberation Sans" w:cs="Liberation Sans"/>
          <w:sz w:val="20"/>
        </w:rPr>
        <w:t>Signature :</w:t>
      </w:r>
    </w:p>
    <w:p w14:paraId="3118431E" w14:textId="77777777" w:rsidR="00061A5F" w:rsidRDefault="00000000">
      <w:pPr>
        <w:pStyle w:val="Standard"/>
        <w:pageBreakBefore/>
        <w:spacing w:before="60"/>
        <w:rPr>
          <w:rFonts w:ascii="Liberation Sans" w:hAnsi="Liberation Sans" w:cs="Liberation Sans" w:hint="eastAsia"/>
          <w:b/>
          <w:bCs/>
          <w:sz w:val="20"/>
          <w:u w:val="single"/>
        </w:rPr>
      </w:pPr>
      <w:r>
        <w:rPr>
          <w:rFonts w:ascii="Liberation Sans" w:hAnsi="Liberation Sans" w:cs="Liberation Sans"/>
          <w:b/>
          <w:bCs/>
          <w:sz w:val="20"/>
          <w:u w:val="single"/>
        </w:rPr>
        <w:lastRenderedPageBreak/>
        <w:t>Annexes :</w:t>
      </w:r>
    </w:p>
    <w:p w14:paraId="0AD3A4CD" w14:textId="77777777" w:rsidR="00061A5F" w:rsidRDefault="00061A5F">
      <w:pPr>
        <w:pStyle w:val="Standard"/>
        <w:rPr>
          <w:rFonts w:ascii="Liberation Sans" w:hAnsi="Liberation Sans" w:cs="Liberation Sans" w:hint="eastAsia"/>
          <w:sz w:val="20"/>
        </w:rPr>
      </w:pPr>
    </w:p>
    <w:p w14:paraId="74660A36" w14:textId="77777777" w:rsidR="00061A5F" w:rsidRDefault="00000000">
      <w:pPr>
        <w:pStyle w:val="Standard"/>
        <w:rPr>
          <w:rFonts w:hint="eastAsia"/>
        </w:rPr>
      </w:pPr>
      <w:r>
        <w:rPr>
          <w:rFonts w:ascii="Liberation Sans" w:hAnsi="Liberation Sans" w:cs="Liberation Sans"/>
          <w:b/>
          <w:bCs/>
          <w:i/>
          <w:iCs/>
          <w:sz w:val="20"/>
        </w:rPr>
        <w:t>Annexe 1 :</w:t>
      </w:r>
      <w:r>
        <w:rPr>
          <w:rFonts w:ascii="Liberation Sans" w:hAnsi="Liberation Sans" w:cs="Liberation Sans"/>
          <w:sz w:val="20"/>
        </w:rPr>
        <w:t xml:space="preserve"> schéma des distances d’effets – correspondance des zones avec les différentes parties de l’analyse de compatibilité</w:t>
      </w:r>
    </w:p>
    <w:p w14:paraId="09A2AD3C" w14:textId="77777777" w:rsidR="00061A5F" w:rsidRDefault="00061A5F">
      <w:pPr>
        <w:pStyle w:val="Standard"/>
        <w:rPr>
          <w:rFonts w:ascii="Liberation Sans" w:hAnsi="Liberation Sans" w:cs="Liberation Sans" w:hint="eastAsia"/>
          <w:sz w:val="20"/>
        </w:rPr>
      </w:pPr>
    </w:p>
    <w:p w14:paraId="40DC94C3" w14:textId="77777777" w:rsidR="00061A5F" w:rsidRDefault="00000000">
      <w:pPr>
        <w:pStyle w:val="Standard"/>
        <w:rPr>
          <w:rFonts w:hint="eastAsia"/>
        </w:rPr>
      </w:pPr>
      <w:r>
        <w:rPr>
          <w:rFonts w:ascii="Liberation Sans" w:hAnsi="Liberation Sans" w:cs="Liberation Sans"/>
          <w:b/>
          <w:bCs/>
          <w:i/>
          <w:iCs/>
          <w:sz w:val="20"/>
        </w:rPr>
        <w:t>Annexe 2 :</w:t>
      </w:r>
      <w:r>
        <w:rPr>
          <w:rFonts w:ascii="Liberation Sans" w:hAnsi="Liberation Sans" w:cs="Liberation Sans"/>
          <w:sz w:val="20"/>
        </w:rPr>
        <w:t xml:space="preserve"> formulaire de la demande des éléments de l’étude de dangers nécessaires à la réalisation de l’analyse de compatibilité (tel qu’adressé par le maître d’ouvrage au transporteur)</w:t>
      </w:r>
    </w:p>
    <w:p w14:paraId="6943DEFE" w14:textId="77777777" w:rsidR="00061A5F" w:rsidRDefault="00061A5F">
      <w:pPr>
        <w:pStyle w:val="Standard"/>
        <w:rPr>
          <w:rFonts w:ascii="Liberation Sans" w:hAnsi="Liberation Sans" w:cs="Liberation Sans" w:hint="eastAsia"/>
          <w:sz w:val="20"/>
        </w:rPr>
      </w:pPr>
    </w:p>
    <w:p w14:paraId="6BCEB486" w14:textId="77777777" w:rsidR="00061A5F" w:rsidRDefault="00000000">
      <w:pPr>
        <w:pStyle w:val="Standard"/>
        <w:rPr>
          <w:rFonts w:hint="eastAsia"/>
        </w:rPr>
      </w:pPr>
      <w:r>
        <w:rPr>
          <w:rFonts w:ascii="Liberation Sans" w:hAnsi="Liberation Sans" w:cs="Liberation Sans"/>
          <w:b/>
          <w:bCs/>
          <w:i/>
          <w:iCs/>
          <w:sz w:val="20"/>
        </w:rPr>
        <w:t>Annexe 3 :</w:t>
      </w:r>
      <w:r>
        <w:rPr>
          <w:rFonts w:ascii="Liberation Sans" w:hAnsi="Liberation Sans" w:cs="Liberation Sans"/>
          <w:sz w:val="20"/>
        </w:rPr>
        <w:t xml:space="preserve"> éléments utiles de l’étude de dangers nécessaires à la réalisation de l’analyse de compatibilité (tels que fournis par le transporteur au maître d’ouvrage)</w:t>
      </w:r>
    </w:p>
    <w:p w14:paraId="73F07B5A" w14:textId="77777777" w:rsidR="00061A5F" w:rsidRDefault="00061A5F">
      <w:pPr>
        <w:pStyle w:val="Standard"/>
        <w:rPr>
          <w:rFonts w:ascii="Liberation Sans" w:hAnsi="Liberation Sans" w:cs="Liberation Sans" w:hint="eastAsia"/>
          <w:sz w:val="20"/>
        </w:rPr>
      </w:pPr>
    </w:p>
    <w:p w14:paraId="6BB92381" w14:textId="77777777" w:rsidR="00061A5F" w:rsidRDefault="00000000">
      <w:pPr>
        <w:pStyle w:val="Standard"/>
        <w:rPr>
          <w:rFonts w:hint="eastAsia"/>
        </w:rPr>
      </w:pPr>
      <w:r>
        <w:rPr>
          <w:rFonts w:ascii="Liberation Sans" w:hAnsi="Liberation Sans" w:cs="Liberation Sans"/>
          <w:b/>
          <w:bCs/>
          <w:i/>
          <w:iCs/>
          <w:sz w:val="20"/>
        </w:rPr>
        <w:t>Annexe 4 :</w:t>
      </w:r>
      <w:r>
        <w:rPr>
          <w:rFonts w:ascii="Liberation Sans" w:hAnsi="Liberation Sans" w:cs="Liberation Sans"/>
          <w:sz w:val="20"/>
        </w:rPr>
        <w:t xml:space="preserve"> (le cas échéant, si la rubrique 3 est cochée) : présentation des mesures particulières de protection des personnes accueillies dans l’ERP ou IGH</w:t>
      </w:r>
    </w:p>
    <w:p w14:paraId="3893F6C9" w14:textId="77777777" w:rsidR="00061A5F" w:rsidRDefault="00061A5F">
      <w:pPr>
        <w:pStyle w:val="Standard"/>
        <w:rPr>
          <w:rFonts w:ascii="Liberation Sans" w:hAnsi="Liberation Sans" w:cs="Liberation Sans" w:hint="eastAsia"/>
          <w:sz w:val="20"/>
        </w:rPr>
      </w:pPr>
    </w:p>
    <w:p w14:paraId="1F6F5EA7" w14:textId="77777777" w:rsidR="00061A5F" w:rsidRDefault="00000000">
      <w:pPr>
        <w:pStyle w:val="Standard"/>
        <w:rPr>
          <w:rFonts w:hint="eastAsia"/>
        </w:rPr>
      </w:pPr>
      <w:r>
        <w:rPr>
          <w:rFonts w:ascii="Liberation Sans" w:hAnsi="Liberation Sans" w:cs="Liberation Sans"/>
          <w:b/>
          <w:bCs/>
          <w:i/>
          <w:iCs/>
          <w:sz w:val="20"/>
        </w:rPr>
        <w:t>Annexe 5 :</w:t>
      </w:r>
      <w:r>
        <w:rPr>
          <w:rFonts w:ascii="Liberation Sans" w:hAnsi="Liberation Sans" w:cs="Liberation Sans"/>
          <w:sz w:val="20"/>
        </w:rPr>
        <w:t xml:space="preserve"> (le cas échéant, si la rubrique 4b est cochée) : présentation par le transporteur de l’argumentaire de son avis défavorable</w:t>
      </w:r>
    </w:p>
    <w:p w14:paraId="0E8EFA26" w14:textId="77777777" w:rsidR="00061A5F" w:rsidRDefault="00061A5F">
      <w:pPr>
        <w:pStyle w:val="Standard"/>
        <w:rPr>
          <w:rFonts w:ascii="Liberation Sans" w:hAnsi="Liberation Sans" w:cs="Liberation Sans" w:hint="eastAsia"/>
          <w:sz w:val="20"/>
        </w:rPr>
      </w:pPr>
    </w:p>
    <w:p w14:paraId="1E1F303D" w14:textId="77777777" w:rsidR="00061A5F" w:rsidRDefault="00000000">
      <w:pPr>
        <w:pStyle w:val="Standard"/>
        <w:rPr>
          <w:rFonts w:hint="eastAsia"/>
        </w:rPr>
      </w:pPr>
      <w:r>
        <w:rPr>
          <w:rFonts w:ascii="Liberation Sans" w:hAnsi="Liberation Sans" w:cs="Liberation Sans"/>
          <w:b/>
          <w:bCs/>
          <w:i/>
          <w:iCs/>
          <w:sz w:val="20"/>
        </w:rPr>
        <w:t>Annexe 6 :</w:t>
      </w:r>
      <w:r>
        <w:rPr>
          <w:rFonts w:ascii="Liberation Sans" w:hAnsi="Liberation Sans" w:cs="Liberation Sans"/>
          <w:sz w:val="20"/>
        </w:rPr>
        <w:t xml:space="preserve"> (le cas échéant, si la rubrique 4b est cochée et si le maître d’ouvrage maintient son projet) : rapport d’expertise de l’analyse de compatibilité établi par un organisme habilité</w:t>
      </w:r>
    </w:p>
    <w:p w14:paraId="2D8A62FC" w14:textId="77777777" w:rsidR="00061A5F" w:rsidRDefault="00061A5F">
      <w:pPr>
        <w:pStyle w:val="Standard"/>
        <w:rPr>
          <w:rFonts w:ascii="Liberation Sans" w:hAnsi="Liberation Sans" w:cs="Liberation Sans" w:hint="eastAsia"/>
          <w:sz w:val="20"/>
        </w:rPr>
      </w:pPr>
    </w:p>
    <w:p w14:paraId="31043AAF" w14:textId="77777777" w:rsidR="00061A5F" w:rsidRDefault="00000000">
      <w:pPr>
        <w:pStyle w:val="Standard"/>
        <w:rPr>
          <w:rFonts w:hint="eastAsia"/>
        </w:rPr>
      </w:pPr>
      <w:r>
        <w:rPr>
          <w:rFonts w:ascii="Liberation Sans" w:hAnsi="Liberation Sans" w:cs="Liberation Sans"/>
          <w:b/>
          <w:bCs/>
          <w:i/>
          <w:iCs/>
          <w:sz w:val="20"/>
        </w:rPr>
        <w:t>Annexe 7 :</w:t>
      </w:r>
      <w:r>
        <w:rPr>
          <w:rFonts w:ascii="Liberation Sans" w:hAnsi="Liberation Sans" w:cs="Liberation Sans"/>
          <w:sz w:val="20"/>
        </w:rPr>
        <w:t xml:space="preserve"> (le cas échéant, si la rubrique 4b est cochée, si le maître d’ouvrage maintient son projet, et si l’avis du préfet est contraire aux conclusions de l’annexe 6) : motivation de l’avis du préfet</w:t>
      </w:r>
    </w:p>
    <w:p w14:paraId="0A4C1CF3" w14:textId="77777777" w:rsidR="00061A5F" w:rsidRDefault="00061A5F">
      <w:pPr>
        <w:pStyle w:val="Standard"/>
        <w:rPr>
          <w:rFonts w:ascii="Liberation Sans" w:hAnsi="Liberation Sans" w:cs="Liberation Sans" w:hint="eastAsia"/>
          <w:sz w:val="20"/>
        </w:rPr>
      </w:pPr>
    </w:p>
    <w:p w14:paraId="24FF53CC" w14:textId="77777777" w:rsidR="00061A5F" w:rsidRDefault="00061A5F">
      <w:pPr>
        <w:pStyle w:val="LVTitre1"/>
        <w:overflowPunct/>
        <w:autoSpaceDE/>
        <w:textAlignment w:val="auto"/>
        <w:rPr>
          <w:rFonts w:ascii="Liberation Sans" w:hAnsi="Liberation Sans" w:cs="Times New Roman"/>
          <w:szCs w:val="24"/>
        </w:rPr>
      </w:pPr>
    </w:p>
    <w:p w14:paraId="723E7174" w14:textId="77777777" w:rsidR="00061A5F" w:rsidRDefault="00061A5F">
      <w:pPr>
        <w:pStyle w:val="Standard"/>
        <w:rPr>
          <w:rFonts w:ascii="Liberation Sans" w:hAnsi="Liberation Sans" w:cs="Liberation Sans" w:hint="eastAsia"/>
          <w:sz w:val="20"/>
        </w:rPr>
        <w:sectPr w:rsidR="00061A5F" w:rsidSect="00EF3A10">
          <w:footerReference w:type="default" r:id="rId8"/>
          <w:pgSz w:w="11906" w:h="16838"/>
          <w:pgMar w:top="720" w:right="991" w:bottom="765" w:left="851" w:header="720" w:footer="709" w:gutter="0"/>
          <w:cols w:space="720"/>
        </w:sectPr>
      </w:pPr>
    </w:p>
    <w:p w14:paraId="60935FC2" w14:textId="77777777" w:rsidR="00061A5F" w:rsidRDefault="00000000">
      <w:pPr>
        <w:pStyle w:val="Titre5"/>
      </w:pPr>
      <w:r>
        <w:lastRenderedPageBreak/>
        <w:t>Annexe 1 : Schéma des distances d’effets – correspondance des zones avec les différentes parties de l’analyse de compatibilité</w:t>
      </w:r>
    </w:p>
    <w:p w14:paraId="10CD6F9E" w14:textId="77777777" w:rsidR="00061A5F" w:rsidRDefault="00000000">
      <w:pPr>
        <w:pStyle w:val="Standard"/>
        <w:rPr>
          <w:rFonts w:ascii="Liberation Sans" w:hAnsi="Liberation Sans" w:cs="Liberation Sans" w:hint="eastAsia"/>
          <w:sz w:val="20"/>
          <w:lang w:eastAsia="fr-FR"/>
        </w:rPr>
      </w:pPr>
      <w:r>
        <w:rPr>
          <w:rFonts w:ascii="Liberation Sans" w:hAnsi="Liberation Sans" w:cs="Liberation Sans"/>
          <w:noProof/>
          <w:sz w:val="20"/>
          <w:lang w:eastAsia="fr-FR"/>
        </w:rPr>
        <w:drawing>
          <wp:anchor distT="0" distB="0" distL="114300" distR="114300" simplePos="0" relativeHeight="54" behindDoc="0" locked="0" layoutInCell="1" allowOverlap="1" wp14:anchorId="7515207D" wp14:editId="468C5000">
            <wp:simplePos x="0" y="0"/>
            <wp:positionH relativeFrom="column">
              <wp:posOffset>-663120</wp:posOffset>
            </wp:positionH>
            <wp:positionV relativeFrom="paragraph">
              <wp:posOffset>170280</wp:posOffset>
            </wp:positionV>
            <wp:extent cx="10236960" cy="5196960"/>
            <wp:effectExtent l="0" t="0" r="0" b="3690"/>
            <wp:wrapNone/>
            <wp:docPr id="9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236960" cy="5196960"/>
                    </a:xfrm>
                    <a:prstGeom prst="rect">
                      <a:avLst/>
                    </a:prstGeom>
                    <a:ln>
                      <a:noFill/>
                      <a:prstDash/>
                    </a:ln>
                  </pic:spPr>
                </pic:pic>
              </a:graphicData>
            </a:graphic>
          </wp:anchor>
        </w:drawing>
      </w:r>
    </w:p>
    <w:p w14:paraId="343FC795" w14:textId="77777777" w:rsidR="00061A5F" w:rsidRDefault="00061A5F">
      <w:pPr>
        <w:pStyle w:val="Standard"/>
        <w:rPr>
          <w:rFonts w:ascii="Liberation Sans" w:hAnsi="Liberation Sans" w:cs="Liberation Sans" w:hint="eastAsia"/>
          <w:sz w:val="20"/>
          <w:lang w:eastAsia="fr-FR"/>
        </w:rPr>
      </w:pPr>
    </w:p>
    <w:p w14:paraId="0DD8680A" w14:textId="77777777" w:rsidR="00061A5F" w:rsidRDefault="00061A5F">
      <w:pPr>
        <w:pStyle w:val="Standard"/>
        <w:rPr>
          <w:rFonts w:ascii="Liberation Sans" w:hAnsi="Liberation Sans" w:cs="Liberation Sans" w:hint="eastAsia"/>
          <w:sz w:val="20"/>
        </w:rPr>
      </w:pPr>
    </w:p>
    <w:p w14:paraId="421BF0FE" w14:textId="77777777" w:rsidR="00061A5F" w:rsidRDefault="00061A5F">
      <w:pPr>
        <w:pStyle w:val="Standard"/>
        <w:rPr>
          <w:rFonts w:ascii="Liberation Sans" w:hAnsi="Liberation Sans" w:cs="Liberation Sans" w:hint="eastAsia"/>
          <w:sz w:val="20"/>
        </w:rPr>
      </w:pPr>
    </w:p>
    <w:p w14:paraId="44F9244D" w14:textId="77777777" w:rsidR="00061A5F" w:rsidRDefault="00061A5F">
      <w:pPr>
        <w:pStyle w:val="Standard"/>
        <w:rPr>
          <w:rFonts w:ascii="Liberation Sans" w:hAnsi="Liberation Sans" w:cs="Liberation Sans" w:hint="eastAsia"/>
          <w:sz w:val="20"/>
        </w:rPr>
      </w:pPr>
    </w:p>
    <w:p w14:paraId="24F28A9F" w14:textId="77777777" w:rsidR="00061A5F" w:rsidRDefault="00061A5F">
      <w:pPr>
        <w:pStyle w:val="Standard"/>
        <w:rPr>
          <w:rFonts w:ascii="Liberation Sans" w:hAnsi="Liberation Sans" w:cs="Liberation Sans" w:hint="eastAsia"/>
          <w:sz w:val="20"/>
        </w:rPr>
      </w:pPr>
    </w:p>
    <w:p w14:paraId="07BCB7C7" w14:textId="77777777" w:rsidR="00061A5F" w:rsidRDefault="00061A5F">
      <w:pPr>
        <w:pStyle w:val="Standard"/>
        <w:rPr>
          <w:rFonts w:ascii="Liberation Sans" w:hAnsi="Liberation Sans" w:cs="Liberation Sans" w:hint="eastAsia"/>
          <w:sz w:val="20"/>
        </w:rPr>
      </w:pPr>
    </w:p>
    <w:p w14:paraId="6DE301BE" w14:textId="77777777" w:rsidR="00061A5F" w:rsidRDefault="00061A5F">
      <w:pPr>
        <w:pStyle w:val="Standard"/>
        <w:rPr>
          <w:rFonts w:ascii="Liberation Sans" w:hAnsi="Liberation Sans" w:cs="Liberation Sans" w:hint="eastAsia"/>
          <w:sz w:val="20"/>
        </w:rPr>
      </w:pPr>
    </w:p>
    <w:p w14:paraId="38C6B58F" w14:textId="77777777" w:rsidR="00061A5F" w:rsidRDefault="00061A5F">
      <w:pPr>
        <w:pStyle w:val="Standard"/>
        <w:rPr>
          <w:rFonts w:ascii="Liberation Sans" w:hAnsi="Liberation Sans" w:cs="Liberation Sans" w:hint="eastAsia"/>
          <w:sz w:val="20"/>
        </w:rPr>
      </w:pPr>
    </w:p>
    <w:p w14:paraId="3A2FF934" w14:textId="77777777" w:rsidR="00061A5F" w:rsidRDefault="00061A5F">
      <w:pPr>
        <w:pStyle w:val="Standard"/>
        <w:rPr>
          <w:rFonts w:ascii="Liberation Sans" w:hAnsi="Liberation Sans" w:cs="Liberation Sans" w:hint="eastAsia"/>
          <w:sz w:val="20"/>
        </w:rPr>
      </w:pPr>
    </w:p>
    <w:p w14:paraId="5D7819F4" w14:textId="77777777" w:rsidR="00061A5F" w:rsidRDefault="00061A5F">
      <w:pPr>
        <w:pStyle w:val="Standard"/>
        <w:rPr>
          <w:rFonts w:ascii="Liberation Sans" w:hAnsi="Liberation Sans" w:cs="Liberation Sans" w:hint="eastAsia"/>
          <w:sz w:val="20"/>
        </w:rPr>
      </w:pPr>
    </w:p>
    <w:p w14:paraId="63888C37" w14:textId="77777777" w:rsidR="00061A5F" w:rsidRDefault="00061A5F">
      <w:pPr>
        <w:pStyle w:val="Standard"/>
        <w:rPr>
          <w:rFonts w:ascii="Liberation Sans" w:hAnsi="Liberation Sans" w:cs="Liberation Sans" w:hint="eastAsia"/>
          <w:sz w:val="20"/>
        </w:rPr>
      </w:pPr>
    </w:p>
    <w:p w14:paraId="08780D60" w14:textId="77777777" w:rsidR="00061A5F" w:rsidRDefault="00061A5F">
      <w:pPr>
        <w:pStyle w:val="Standard"/>
        <w:rPr>
          <w:rFonts w:ascii="Liberation Sans" w:hAnsi="Liberation Sans" w:cs="Liberation Sans" w:hint="eastAsia"/>
          <w:sz w:val="20"/>
        </w:rPr>
      </w:pPr>
    </w:p>
    <w:p w14:paraId="00A5C4DD" w14:textId="77777777" w:rsidR="00061A5F" w:rsidRDefault="00061A5F">
      <w:pPr>
        <w:pStyle w:val="Standard"/>
        <w:rPr>
          <w:rFonts w:ascii="Liberation Sans" w:hAnsi="Liberation Sans" w:cs="Liberation Sans" w:hint="eastAsia"/>
          <w:sz w:val="20"/>
        </w:rPr>
      </w:pPr>
    </w:p>
    <w:p w14:paraId="727E1378" w14:textId="77777777" w:rsidR="00061A5F" w:rsidRDefault="00061A5F">
      <w:pPr>
        <w:pStyle w:val="Standard"/>
        <w:rPr>
          <w:rFonts w:ascii="Liberation Sans" w:hAnsi="Liberation Sans" w:cs="Liberation Sans" w:hint="eastAsia"/>
          <w:sz w:val="20"/>
        </w:rPr>
      </w:pPr>
    </w:p>
    <w:p w14:paraId="69BDE3D8" w14:textId="77777777" w:rsidR="00061A5F" w:rsidRDefault="00061A5F">
      <w:pPr>
        <w:pStyle w:val="Standard"/>
        <w:rPr>
          <w:rFonts w:ascii="Liberation Sans" w:hAnsi="Liberation Sans" w:cs="Liberation Sans" w:hint="eastAsia"/>
          <w:sz w:val="20"/>
        </w:rPr>
      </w:pPr>
    </w:p>
    <w:p w14:paraId="34DAC796" w14:textId="77777777" w:rsidR="00061A5F" w:rsidRDefault="00061A5F">
      <w:pPr>
        <w:pStyle w:val="Standard"/>
        <w:rPr>
          <w:rFonts w:ascii="Liberation Sans" w:hAnsi="Liberation Sans" w:cs="Liberation Sans" w:hint="eastAsia"/>
          <w:sz w:val="20"/>
        </w:rPr>
      </w:pPr>
    </w:p>
    <w:p w14:paraId="48279178" w14:textId="77777777" w:rsidR="00061A5F" w:rsidRDefault="00061A5F">
      <w:pPr>
        <w:pStyle w:val="Standard"/>
        <w:rPr>
          <w:rFonts w:ascii="Liberation Sans" w:hAnsi="Liberation Sans" w:cs="Liberation Sans" w:hint="eastAsia"/>
          <w:sz w:val="20"/>
        </w:rPr>
      </w:pPr>
    </w:p>
    <w:p w14:paraId="3104897A" w14:textId="77777777" w:rsidR="00061A5F" w:rsidRDefault="00061A5F">
      <w:pPr>
        <w:pStyle w:val="Standard"/>
        <w:rPr>
          <w:rFonts w:ascii="Liberation Sans" w:hAnsi="Liberation Sans" w:cs="Liberation Sans" w:hint="eastAsia"/>
          <w:sz w:val="20"/>
        </w:rPr>
      </w:pPr>
    </w:p>
    <w:p w14:paraId="161AE1D8" w14:textId="77777777" w:rsidR="00061A5F" w:rsidRDefault="00061A5F">
      <w:pPr>
        <w:pStyle w:val="Standard"/>
        <w:rPr>
          <w:rFonts w:ascii="Liberation Sans" w:hAnsi="Liberation Sans" w:cs="Liberation Sans" w:hint="eastAsia"/>
          <w:sz w:val="20"/>
        </w:rPr>
      </w:pPr>
    </w:p>
    <w:p w14:paraId="2056CAC0" w14:textId="77777777" w:rsidR="00061A5F" w:rsidRDefault="00061A5F">
      <w:pPr>
        <w:pStyle w:val="Standard"/>
        <w:rPr>
          <w:rFonts w:ascii="Liberation Sans" w:hAnsi="Liberation Sans" w:cs="Liberation Sans" w:hint="eastAsia"/>
          <w:sz w:val="20"/>
        </w:rPr>
      </w:pPr>
    </w:p>
    <w:p w14:paraId="3CACF2D4" w14:textId="77777777" w:rsidR="00061A5F" w:rsidRDefault="00061A5F">
      <w:pPr>
        <w:pStyle w:val="Standard"/>
        <w:rPr>
          <w:rFonts w:ascii="Liberation Sans" w:hAnsi="Liberation Sans" w:cs="Liberation Sans" w:hint="eastAsia"/>
          <w:sz w:val="20"/>
        </w:rPr>
      </w:pPr>
    </w:p>
    <w:p w14:paraId="51EC8901" w14:textId="77777777" w:rsidR="00061A5F" w:rsidRDefault="00061A5F">
      <w:pPr>
        <w:pStyle w:val="Standard"/>
        <w:rPr>
          <w:rFonts w:ascii="Liberation Sans" w:hAnsi="Liberation Sans" w:cs="Liberation Sans" w:hint="eastAsia"/>
          <w:sz w:val="20"/>
        </w:rPr>
      </w:pPr>
    </w:p>
    <w:p w14:paraId="1101E108" w14:textId="55D256FB" w:rsidR="00061A5F" w:rsidRDefault="00061A5F" w:rsidP="00B447EB">
      <w:pPr>
        <w:pStyle w:val="Textbody"/>
        <w:spacing w:after="0"/>
        <w:rPr>
          <w:rFonts w:ascii="Times New Roman" w:hAnsi="Times New Roman" w:cs="Times New Roman"/>
        </w:rPr>
      </w:pPr>
    </w:p>
    <w:sectPr w:rsidR="00061A5F" w:rsidSect="00B447EB">
      <w:footerReference w:type="default" r:id="rId10"/>
      <w:pgSz w:w="16838" w:h="11906" w:orient="landscape"/>
      <w:pgMar w:top="567" w:right="397" w:bottom="567" w:left="284" w:header="72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E685C" w14:textId="77777777" w:rsidR="00000F57" w:rsidRDefault="00000F57">
      <w:pPr>
        <w:rPr>
          <w:rFonts w:hint="eastAsia"/>
        </w:rPr>
      </w:pPr>
      <w:r>
        <w:separator/>
      </w:r>
    </w:p>
  </w:endnote>
  <w:endnote w:type="continuationSeparator" w:id="0">
    <w:p w14:paraId="510B8D6F" w14:textId="77777777" w:rsidR="00000F57" w:rsidRDefault="00000F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C62D" w14:textId="77777777" w:rsidR="008E0958" w:rsidRDefault="008E0958">
    <w:pPr>
      <w:pStyle w:val="Pieddepage"/>
      <w:tabs>
        <w:tab w:val="clear" w:pos="4819"/>
        <w:tab w:val="clear" w:pos="9638"/>
        <w:tab w:val="right" w:pos="9072"/>
      </w:tabs>
      <w:rPr>
        <w:rFonts w:hint="eastAsia"/>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24C5" w14:textId="77777777" w:rsidR="00C21329" w:rsidRDefault="00000000">
    <w:pPr>
      <w:pStyle w:val="Pieddepage"/>
      <w:tabs>
        <w:tab w:val="clear" w:pos="4819"/>
        <w:tab w:val="clear" w:pos="9638"/>
        <w:tab w:val="right" w:pos="9072"/>
      </w:tabs>
      <w:rPr>
        <w:rFonts w:hint="eastAsia"/>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E45E" w14:textId="77777777" w:rsidR="00C21329" w:rsidRDefault="00000000">
    <w:pPr>
      <w:pStyle w:val="Pieddepage"/>
      <w:tabs>
        <w:tab w:val="clear" w:pos="4819"/>
        <w:tab w:val="clear" w:pos="9638"/>
        <w:tab w:val="right" w:pos="9072"/>
      </w:tabs>
      <w:rPr>
        <w:rFonts w:hint="eastAsia"/>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4356" w14:textId="77777777" w:rsidR="00000F57" w:rsidRDefault="00000F57">
      <w:pPr>
        <w:rPr>
          <w:rFonts w:hint="eastAsia"/>
        </w:rPr>
      </w:pPr>
      <w:r>
        <w:rPr>
          <w:color w:val="000000"/>
        </w:rPr>
        <w:separator/>
      </w:r>
    </w:p>
  </w:footnote>
  <w:footnote w:type="continuationSeparator" w:id="0">
    <w:p w14:paraId="0832B9B2" w14:textId="77777777" w:rsidR="00000F57" w:rsidRDefault="00000F5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E39"/>
    <w:multiLevelType w:val="multilevel"/>
    <w:tmpl w:val="AD0E5E34"/>
    <w:styleLink w:val="WW8Num9"/>
    <w:lvl w:ilvl="0">
      <w:start w:val="1"/>
      <w:numFmt w:val="lowerLetter"/>
      <w:lvlText w:val="%1."/>
      <w:lvlJc w:val="left"/>
      <w:pPr>
        <w:ind w:left="360" w:hanging="360"/>
      </w:pPr>
      <w:rPr>
        <w:rFonts w:ascii="Liberation Sans" w:hAnsi="Liberation Sans" w:cs="Liberation Sans"/>
        <w:b/>
        <w:bC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F32C5C"/>
    <w:multiLevelType w:val="multilevel"/>
    <w:tmpl w:val="16E22B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7D56B45"/>
    <w:multiLevelType w:val="multilevel"/>
    <w:tmpl w:val="0B12F8B0"/>
    <w:styleLink w:val="WW8Num4"/>
    <w:lvl w:ilvl="0">
      <w:start w:val="1"/>
      <w:numFmt w:val="lowerLetter"/>
      <w:lvlText w:val="%1."/>
      <w:lvlJc w:val="left"/>
      <w:pPr>
        <w:ind w:left="360" w:hanging="360"/>
      </w:pPr>
      <w:rPr>
        <w:rFonts w:ascii="Liberation Sans" w:hAnsi="Liberation Sans" w:cs="Liberation San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D84A26"/>
    <w:multiLevelType w:val="multilevel"/>
    <w:tmpl w:val="B2C24310"/>
    <w:styleLink w:val="WW8Num8"/>
    <w:lvl w:ilvl="0">
      <w:numFmt w:val="bullet"/>
      <w:lvlText w:val="-"/>
      <w:lvlJc w:val="left"/>
      <w:pPr>
        <w:ind w:left="360" w:hanging="360"/>
      </w:pPr>
      <w:rPr>
        <w:rFonts w:ascii="Times New Roman" w:hAnsi="Times New Roman" w:cs="Times New Roman"/>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A02A6F"/>
    <w:multiLevelType w:val="multilevel"/>
    <w:tmpl w:val="57EA29BE"/>
    <w:styleLink w:val="WW8Num10"/>
    <w:lvl w:ilvl="0">
      <w:start w:val="1"/>
      <w:numFmt w:val="lowerLetter"/>
      <w:lvlText w:val="%1."/>
      <w:lvlJc w:val="left"/>
      <w:pPr>
        <w:ind w:left="720" w:hanging="360"/>
      </w:pPr>
      <w:rPr>
        <w:rFonts w:ascii="Liberation Sans" w:hAnsi="Liberation Sans" w:cs="Liberation Sans"/>
        <w:b w:val="0"/>
        <w:bC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A425A9"/>
    <w:multiLevelType w:val="multilevel"/>
    <w:tmpl w:val="0C243466"/>
    <w:styleLink w:val="WW8Num7"/>
    <w:lvl w:ilvl="0">
      <w:start w:val="1"/>
      <w:numFmt w:val="lowerLetter"/>
      <w:lvlText w:val="%1."/>
      <w:lvlJc w:val="left"/>
      <w:pPr>
        <w:ind w:left="360" w:hanging="360"/>
      </w:pPr>
      <w:rPr>
        <w:sz w:val="20"/>
      </w:rPr>
    </w:lvl>
    <w:lvl w:ilvl="1">
      <w:numFmt w:val="bullet"/>
      <w:lvlText w:val="-"/>
      <w:lvlJc w:val="left"/>
      <w:pPr>
        <w:ind w:left="1440" w:hanging="360"/>
      </w:pPr>
      <w:rPr>
        <w:rFonts w:ascii="Times New Roman" w:hAnsi="Times New Roman" w:cs="Times New Roman"/>
        <w:color w:val="00000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271A35"/>
    <w:multiLevelType w:val="multilevel"/>
    <w:tmpl w:val="1528231C"/>
    <w:styleLink w:val="WW8Num1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376650C"/>
    <w:multiLevelType w:val="multilevel"/>
    <w:tmpl w:val="A51824F4"/>
    <w:styleLink w:val="WW8Num2"/>
    <w:lvl w:ilvl="0">
      <w:numFmt w:val="bullet"/>
      <w:lvlText w:val="-"/>
      <w:lvlJc w:val="left"/>
      <w:pPr>
        <w:ind w:left="360" w:hanging="360"/>
      </w:pPr>
      <w:rPr>
        <w:rFonts w:ascii="Times New Roman" w:hAnsi="Times New Roman"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35757C"/>
    <w:multiLevelType w:val="multilevel"/>
    <w:tmpl w:val="BEC2C990"/>
    <w:styleLink w:val="WW8Num5"/>
    <w:lvl w:ilvl="0">
      <w:start w:val="1"/>
      <w:numFmt w:val="lowerLetter"/>
      <w:lvlText w:val="%1."/>
      <w:lvlJc w:val="left"/>
      <w:pPr>
        <w:ind w:left="360" w:hanging="360"/>
      </w:pPr>
      <w:rPr>
        <w:rFonts w:ascii="Liberation Sans" w:hAnsi="Liberation Sans" w:cs="Liberation San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75575D4"/>
    <w:multiLevelType w:val="multilevel"/>
    <w:tmpl w:val="3A1E05E4"/>
    <w:styleLink w:val="WW8Num12"/>
    <w:lvl w:ilvl="0">
      <w:start w:val="1"/>
      <w:numFmt w:val="decimal"/>
      <w:lvlText w:val="%1-"/>
      <w:lvlJc w:val="left"/>
      <w:pPr>
        <w:ind w:left="360" w:hanging="360"/>
      </w:pPr>
      <w:rPr>
        <w:rFonts w:ascii="Liberation Sans" w:hAnsi="Liberation Sans" w:cs="Liberation Sans"/>
        <w:b/>
        <w:bCs/>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7FD22E2"/>
    <w:multiLevelType w:val="multilevel"/>
    <w:tmpl w:val="CFE63536"/>
    <w:styleLink w:val="WW8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DAD47A1"/>
    <w:multiLevelType w:val="multilevel"/>
    <w:tmpl w:val="4BB00B9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06886107">
    <w:abstractNumId w:val="10"/>
  </w:num>
  <w:num w:numId="2" w16cid:durableId="296766907">
    <w:abstractNumId w:val="11"/>
  </w:num>
  <w:num w:numId="3" w16cid:durableId="234165534">
    <w:abstractNumId w:val="7"/>
  </w:num>
  <w:num w:numId="4" w16cid:durableId="491139348">
    <w:abstractNumId w:val="9"/>
  </w:num>
  <w:num w:numId="5" w16cid:durableId="632756873">
    <w:abstractNumId w:val="0"/>
  </w:num>
  <w:num w:numId="6" w16cid:durableId="933321888">
    <w:abstractNumId w:val="6"/>
  </w:num>
  <w:num w:numId="7" w16cid:durableId="1535802533">
    <w:abstractNumId w:val="5"/>
  </w:num>
  <w:num w:numId="8" w16cid:durableId="1462504512">
    <w:abstractNumId w:val="4"/>
  </w:num>
  <w:num w:numId="9" w16cid:durableId="260528718">
    <w:abstractNumId w:val="2"/>
  </w:num>
  <w:num w:numId="10" w16cid:durableId="528765928">
    <w:abstractNumId w:val="3"/>
  </w:num>
  <w:num w:numId="11" w16cid:durableId="158279643">
    <w:abstractNumId w:val="8"/>
  </w:num>
  <w:num w:numId="12" w16cid:durableId="206182744">
    <w:abstractNumId w:val="1"/>
  </w:num>
  <w:num w:numId="13" w16cid:durableId="206186284">
    <w:abstractNumId w:val="10"/>
    <w:lvlOverride w:ilvl="0">
      <w:startOverride w:val="1"/>
    </w:lvlOverride>
  </w:num>
  <w:num w:numId="14" w16cid:durableId="2112161305">
    <w:abstractNumId w:val="11"/>
    <w:lvlOverride w:ilvl="0">
      <w:startOverride w:val="1"/>
    </w:lvlOverride>
  </w:num>
  <w:num w:numId="15" w16cid:durableId="504520162">
    <w:abstractNumId w:val="7"/>
  </w:num>
  <w:num w:numId="16" w16cid:durableId="2088185018">
    <w:abstractNumId w:val="9"/>
    <w:lvlOverride w:ilvl="0">
      <w:startOverride w:val="1"/>
    </w:lvlOverride>
  </w:num>
  <w:num w:numId="17" w16cid:durableId="180627273">
    <w:abstractNumId w:val="0"/>
    <w:lvlOverride w:ilvl="0">
      <w:startOverride w:val="1"/>
    </w:lvlOverride>
  </w:num>
  <w:num w:numId="18" w16cid:durableId="1339387587">
    <w:abstractNumId w:val="6"/>
  </w:num>
  <w:num w:numId="19" w16cid:durableId="26377790">
    <w:abstractNumId w:val="4"/>
    <w:lvlOverride w:ilvl="0">
      <w:startOverride w:val="1"/>
    </w:lvlOverride>
  </w:num>
  <w:num w:numId="20" w16cid:durableId="1763452936">
    <w:abstractNumId w:val="2"/>
    <w:lvlOverride w:ilvl="0">
      <w:startOverride w:val="1"/>
    </w:lvlOverride>
  </w:num>
  <w:num w:numId="21" w16cid:durableId="1929733077">
    <w:abstractNumId w:val="3"/>
  </w:num>
  <w:num w:numId="22" w16cid:durableId="51342409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5F"/>
    <w:rsid w:val="00000F57"/>
    <w:rsid w:val="00061A5F"/>
    <w:rsid w:val="00075A46"/>
    <w:rsid w:val="000D27C7"/>
    <w:rsid w:val="00217485"/>
    <w:rsid w:val="003123B4"/>
    <w:rsid w:val="00385B08"/>
    <w:rsid w:val="004E0880"/>
    <w:rsid w:val="006764F7"/>
    <w:rsid w:val="00770206"/>
    <w:rsid w:val="008979B0"/>
    <w:rsid w:val="008E0958"/>
    <w:rsid w:val="009A0287"/>
    <w:rsid w:val="009D6E70"/>
    <w:rsid w:val="00B447EB"/>
    <w:rsid w:val="00C21329"/>
    <w:rsid w:val="00EF3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B440"/>
  <w15:docId w15:val="{E7237D82-8626-4F41-AF97-76284BE5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jc w:val="center"/>
      <w:outlineLvl w:val="0"/>
    </w:pPr>
    <w:rPr>
      <w:rFonts w:ascii="Liberation Sans" w:eastAsia="Liberation Sans" w:hAnsi="Liberation Sans" w:cs="Liberation Sans"/>
      <w:b/>
      <w:bCs/>
      <w:color w:val="008000"/>
      <w:sz w:val="20"/>
    </w:rPr>
  </w:style>
  <w:style w:type="paragraph" w:styleId="Titre3">
    <w:name w:val="heading 3"/>
    <w:basedOn w:val="Standard"/>
    <w:next w:val="P2"/>
    <w:uiPriority w:val="9"/>
    <w:unhideWhenUsed/>
    <w:qFormat/>
    <w:pPr>
      <w:keepNext/>
      <w:tabs>
        <w:tab w:val="left" w:pos="4820"/>
      </w:tabs>
      <w:overflowPunct w:val="0"/>
      <w:autoSpaceDE w:val="0"/>
      <w:spacing w:before="240"/>
      <w:ind w:left="2410" w:hanging="1134"/>
      <w:jc w:val="both"/>
      <w:outlineLvl w:val="2"/>
    </w:pPr>
    <w:rPr>
      <w:rFonts w:ascii="Arial" w:eastAsia="Arial" w:hAnsi="Arial" w:cs="Arial"/>
      <w:i/>
    </w:rPr>
  </w:style>
  <w:style w:type="paragraph" w:styleId="Titre4">
    <w:name w:val="heading 4"/>
    <w:basedOn w:val="Standard"/>
    <w:next w:val="Standard"/>
    <w:uiPriority w:val="9"/>
    <w:unhideWhenUsed/>
    <w:qFormat/>
    <w:pPr>
      <w:keepNext/>
      <w:spacing w:after="120"/>
      <w:jc w:val="center"/>
      <w:outlineLvl w:val="3"/>
    </w:pPr>
    <w:rPr>
      <w:rFonts w:ascii="Liberation Sans" w:eastAsia="Liberation Sans" w:hAnsi="Liberation Sans" w:cs="Liberation Sans"/>
      <w:b/>
      <w:bCs/>
      <w:color w:val="000000"/>
      <w:sz w:val="16"/>
    </w:rPr>
  </w:style>
  <w:style w:type="paragraph" w:styleId="Titre5">
    <w:name w:val="heading 5"/>
    <w:basedOn w:val="Standard"/>
    <w:next w:val="Standard"/>
    <w:uiPriority w:val="9"/>
    <w:unhideWhenUsed/>
    <w:qFormat/>
    <w:pPr>
      <w:keepNext/>
      <w:spacing w:after="120"/>
      <w:jc w:val="center"/>
      <w:outlineLvl w:val="4"/>
    </w:pPr>
    <w:rPr>
      <w:rFonts w:ascii="Liberation Sans" w:eastAsia="Liberation Sans" w:hAnsi="Liberation Sans" w:cs="Liberation Sans"/>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MArticle">
    <w:name w:val="AM_Article"/>
    <w:basedOn w:val="Standard"/>
    <w:pPr>
      <w:spacing w:before="360" w:after="120"/>
      <w:jc w:val="center"/>
    </w:pPr>
    <w:rPr>
      <w:b/>
      <w:szCs w:val="20"/>
    </w:rPr>
  </w:style>
  <w:style w:type="paragraph" w:customStyle="1" w:styleId="LVTitre1">
    <w:name w:val="LV Titre 1"/>
    <w:basedOn w:val="Standard"/>
    <w:pPr>
      <w:overflowPunct w:val="0"/>
      <w:autoSpaceDE w:val="0"/>
      <w:jc w:val="both"/>
    </w:pPr>
    <w:rPr>
      <w:rFonts w:ascii="Arial" w:eastAsia="Arial" w:hAnsi="Arial" w:cs="Arial"/>
      <w:sz w:val="20"/>
      <w:szCs w:val="20"/>
    </w:rPr>
  </w:style>
  <w:style w:type="paragraph" w:customStyle="1" w:styleId="Corpsdetexte21">
    <w:name w:val="Corps de texte 21"/>
    <w:basedOn w:val="Standard"/>
    <w:pPr>
      <w:jc w:val="both"/>
    </w:pPr>
    <w:rPr>
      <w:rFonts w:ascii="Liberation Sans" w:eastAsia="Liberation Sans" w:hAnsi="Liberation Sans" w:cs="Liberation Sans"/>
      <w:sz w:val="20"/>
    </w:rPr>
  </w:style>
  <w:style w:type="paragraph" w:customStyle="1" w:styleId="Textbodyindent">
    <w:name w:val="Text body indent"/>
    <w:basedOn w:val="Standard"/>
    <w:pPr>
      <w:spacing w:after="120"/>
      <w:ind w:left="283"/>
    </w:pPr>
  </w:style>
  <w:style w:type="paragraph" w:customStyle="1" w:styleId="SNTimbre">
    <w:name w:val="SNTimbre"/>
    <w:basedOn w:val="Standard"/>
    <w:pPr>
      <w:widowControl w:val="0"/>
      <w:snapToGrid w:val="0"/>
      <w:spacing w:before="120" w:after="120"/>
      <w:jc w:val="center"/>
    </w:pPr>
    <w:rPr>
      <w:rFonts w:eastAsia="Lucida Sans Unicode"/>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P2">
    <w:name w:val="P2"/>
    <w:pPr>
      <w:overflowPunct w:val="0"/>
      <w:autoSpaceDE w:val="0"/>
      <w:spacing w:before="120"/>
      <w:ind w:left="567"/>
      <w:jc w:val="both"/>
    </w:pPr>
    <w:rPr>
      <w:rFonts w:ascii="Times New Roman" w:eastAsia="Times New Roman" w:hAnsi="Times New Roman" w:cs="Times New Roman"/>
      <w:sz w:val="22"/>
      <w:szCs w:val="20"/>
      <w:lang w:bidi="ar-SA"/>
    </w:rPr>
  </w:style>
  <w:style w:type="paragraph" w:customStyle="1" w:styleId="R3">
    <w:name w:val="R3"/>
    <w:pPr>
      <w:overflowPunct w:val="0"/>
      <w:autoSpaceDE w:val="0"/>
      <w:spacing w:before="60"/>
      <w:ind w:left="993" w:hanging="142"/>
      <w:jc w:val="both"/>
    </w:pPr>
    <w:rPr>
      <w:rFonts w:ascii="Times New Roman" w:eastAsia="Times New Roman" w:hAnsi="Times New Roman" w:cs="Times New Roman"/>
      <w:sz w:val="22"/>
      <w:szCs w:val="20"/>
      <w:lang w:bidi="ar-SA"/>
    </w:rPr>
  </w:style>
  <w:style w:type="paragraph" w:customStyle="1" w:styleId="R1">
    <w:name w:val="R1"/>
    <w:pPr>
      <w:overflowPunct w:val="0"/>
      <w:autoSpaceDE w:val="0"/>
      <w:spacing w:before="60"/>
      <w:ind w:left="426" w:hanging="142"/>
      <w:jc w:val="both"/>
    </w:pPr>
    <w:rPr>
      <w:rFonts w:ascii="Times New Roman" w:eastAsia="Times New Roman" w:hAnsi="Times New Roman" w:cs="Times New Roman"/>
      <w:sz w:val="22"/>
      <w:szCs w:val="20"/>
      <w:lang w:bidi="ar-SA"/>
    </w:rPr>
  </w:style>
  <w:style w:type="paragraph" w:customStyle="1" w:styleId="SNRpublique">
    <w:name w:val="SNRépublique"/>
    <w:basedOn w:val="Standard"/>
    <w:pPr>
      <w:widowControl w:val="0"/>
      <w:spacing w:after="120"/>
      <w:jc w:val="center"/>
    </w:pPr>
    <w:rPr>
      <w:rFonts w:eastAsia="Lucida Sans Unicode"/>
      <w:b/>
      <w:bCs/>
    </w:rPr>
  </w:style>
  <w:style w:type="paragraph" w:customStyle="1" w:styleId="P1">
    <w:name w:val="P1"/>
    <w:pPr>
      <w:overflowPunct w:val="0"/>
      <w:autoSpaceDE w:val="0"/>
      <w:spacing w:before="120"/>
      <w:ind w:left="284"/>
      <w:jc w:val="both"/>
    </w:pPr>
    <w:rPr>
      <w:rFonts w:ascii="Times New Roman" w:eastAsia="Times New Roman" w:hAnsi="Times New Roman" w:cs="Times New Roman"/>
      <w:sz w:val="22"/>
      <w:szCs w:val="20"/>
      <w:lang w:bidi="ar-SA"/>
    </w:rPr>
  </w:style>
  <w:style w:type="paragraph" w:customStyle="1" w:styleId="Paragraphe1">
    <w:name w:val="Paragraphe 1"/>
    <w:basedOn w:val="Standard"/>
    <w:pPr>
      <w:overflowPunct w:val="0"/>
      <w:autoSpaceDE w:val="0"/>
      <w:spacing w:after="120"/>
      <w:ind w:left="709" w:right="113"/>
      <w:jc w:val="both"/>
    </w:pPr>
    <w:rPr>
      <w:rFonts w:ascii="Arial" w:eastAsia="Arial" w:hAnsi="Arial" w:cs="Arial"/>
      <w:sz w:val="20"/>
      <w:szCs w:val="20"/>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basedOn w:val="Policepardfaut"/>
    <w:rPr>
      <w:color w:val="800080"/>
      <w:u w:val="single"/>
    </w:rPr>
  </w:style>
  <w:style w:type="character" w:styleId="Appelnotedebasdep">
    <w:name w:val="footnote reference"/>
    <w:rPr>
      <w:position w:val="0"/>
      <w:vertAlign w:val="superscript"/>
    </w:rPr>
  </w:style>
  <w:style w:type="character" w:customStyle="1" w:styleId="FootnoteSymbol">
    <w:name w:val="Footnote Symbol"/>
    <w:rPr>
      <w:rFonts w:ascii="Times New Roman" w:eastAsia="Times New Roman" w:hAnsi="Times New Roman" w:cs="Times New Roman"/>
      <w:position w:val="0"/>
      <w:vertAlign w:val="superscript"/>
    </w:rPr>
  </w:style>
  <w:style w:type="character" w:customStyle="1" w:styleId="Footnoteanchor">
    <w:name w:val="Footnote anchor"/>
    <w:rPr>
      <w:position w:val="0"/>
      <w:vertAlign w:val="superscript"/>
    </w:rPr>
  </w:style>
  <w:style w:type="character" w:customStyle="1" w:styleId="WW8Num2z0">
    <w:name w:val="WW8Num2z0"/>
    <w:rPr>
      <w:rFonts w:ascii="Times New Roman" w:eastAsia="Times New Roman" w:hAnsi="Times New Roman" w:cs="Times New Roman"/>
      <w:color w:val="000000"/>
    </w:rPr>
  </w:style>
  <w:style w:type="character" w:customStyle="1" w:styleId="WW8Num12z0">
    <w:name w:val="WW8Num12z0"/>
    <w:rPr>
      <w:rFonts w:ascii="Liberation Sans" w:eastAsia="Liberation Sans" w:hAnsi="Liberation Sans" w:cs="Liberation Sans"/>
      <w:b/>
      <w:bCs/>
      <w:sz w:val="22"/>
    </w:rPr>
  </w:style>
  <w:style w:type="character" w:customStyle="1" w:styleId="WW8Num9z0">
    <w:name w:val="WW8Num9z0"/>
    <w:rPr>
      <w:rFonts w:ascii="Liberation Sans" w:eastAsia="Liberation Sans" w:hAnsi="Liberation Sans" w:cs="Liberation Sans"/>
      <w:b/>
      <w:bCs/>
      <w:sz w:val="20"/>
    </w:rPr>
  </w:style>
  <w:style w:type="character" w:customStyle="1" w:styleId="WW8Num11z0">
    <w:name w:val="WW8Num11z0"/>
    <w:rPr>
      <w:rFonts w:ascii="Symbol" w:eastAsia="Symbol" w:hAnsi="Symbol" w:cs="Symbol"/>
    </w:rPr>
  </w:style>
  <w:style w:type="character" w:customStyle="1" w:styleId="WW8Num7z0">
    <w:name w:val="WW8Num7z0"/>
    <w:rPr>
      <w:sz w:val="20"/>
    </w:rPr>
  </w:style>
  <w:style w:type="character" w:customStyle="1" w:styleId="WW8Num7z1">
    <w:name w:val="WW8Num7z1"/>
    <w:rPr>
      <w:rFonts w:ascii="Times New Roman" w:eastAsia="Times New Roman" w:hAnsi="Times New Roman" w:cs="Times New Roman"/>
      <w:color w:val="000000"/>
      <w:sz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0">
    <w:name w:val="WW8Num10z0"/>
    <w:rPr>
      <w:rFonts w:ascii="Liberation Sans" w:eastAsia="Liberation Sans" w:hAnsi="Liberation Sans" w:cs="Liberation Sans"/>
      <w:b w:val="0"/>
      <w:bCs/>
      <w:sz w:val="20"/>
    </w:rPr>
  </w:style>
  <w:style w:type="character" w:customStyle="1" w:styleId="WW8Num4z0">
    <w:name w:val="WW8Num4z0"/>
    <w:rPr>
      <w:rFonts w:ascii="Liberation Sans" w:eastAsia="Liberation Sans" w:hAnsi="Liberation Sans" w:cs="Liberation Sans"/>
      <w:sz w:val="20"/>
    </w:rPr>
  </w:style>
  <w:style w:type="character" w:customStyle="1" w:styleId="WW8Num8z0">
    <w:name w:val="WW8Num8z0"/>
    <w:rPr>
      <w:rFonts w:ascii="Times New Roman" w:eastAsia="Times New Roman" w:hAnsi="Times New Roman" w:cs="Times New Roman"/>
      <w:color w:val="000000"/>
      <w:sz w:val="20"/>
    </w:rPr>
  </w:style>
  <w:style w:type="character" w:customStyle="1" w:styleId="WW8Num5z0">
    <w:name w:val="WW8Num5z0"/>
    <w:rPr>
      <w:rFonts w:ascii="Liberation Sans" w:eastAsia="Liberation Sans" w:hAnsi="Liberation Sans" w:cs="Liberation Sans"/>
      <w:sz w:val="20"/>
    </w:rPr>
  </w:style>
  <w:style w:type="numbering" w:customStyle="1" w:styleId="WW8Num3">
    <w:name w:val="WW8Num3"/>
    <w:basedOn w:val="Aucuneliste"/>
    <w:pPr>
      <w:numPr>
        <w:numId w:val="1"/>
      </w:numPr>
    </w:pPr>
  </w:style>
  <w:style w:type="numbering" w:customStyle="1" w:styleId="WW8Num6">
    <w:name w:val="WW8Num6"/>
    <w:basedOn w:val="Aucuneliste"/>
    <w:pPr>
      <w:numPr>
        <w:numId w:val="2"/>
      </w:numPr>
    </w:pPr>
  </w:style>
  <w:style w:type="numbering" w:customStyle="1" w:styleId="WW8Num2">
    <w:name w:val="WW8Num2"/>
    <w:basedOn w:val="Aucuneliste"/>
    <w:pPr>
      <w:numPr>
        <w:numId w:val="3"/>
      </w:numPr>
    </w:pPr>
  </w:style>
  <w:style w:type="numbering" w:customStyle="1" w:styleId="WW8Num12">
    <w:name w:val="WW8Num12"/>
    <w:basedOn w:val="Aucuneliste"/>
    <w:pPr>
      <w:numPr>
        <w:numId w:val="4"/>
      </w:numPr>
    </w:pPr>
  </w:style>
  <w:style w:type="numbering" w:customStyle="1" w:styleId="WW8Num9">
    <w:name w:val="WW8Num9"/>
    <w:basedOn w:val="Aucuneliste"/>
    <w:pPr>
      <w:numPr>
        <w:numId w:val="5"/>
      </w:numPr>
    </w:pPr>
  </w:style>
  <w:style w:type="numbering" w:customStyle="1" w:styleId="WW8Num11">
    <w:name w:val="WW8Num11"/>
    <w:basedOn w:val="Aucuneliste"/>
    <w:pPr>
      <w:numPr>
        <w:numId w:val="6"/>
      </w:numPr>
    </w:pPr>
  </w:style>
  <w:style w:type="numbering" w:customStyle="1" w:styleId="WW8Num7">
    <w:name w:val="WW8Num7"/>
    <w:basedOn w:val="Aucuneliste"/>
    <w:pPr>
      <w:numPr>
        <w:numId w:val="7"/>
      </w:numPr>
    </w:pPr>
  </w:style>
  <w:style w:type="numbering" w:customStyle="1" w:styleId="WW8Num10">
    <w:name w:val="WW8Num10"/>
    <w:basedOn w:val="Aucuneliste"/>
    <w:pPr>
      <w:numPr>
        <w:numId w:val="8"/>
      </w:numPr>
    </w:pPr>
  </w:style>
  <w:style w:type="numbering" w:customStyle="1" w:styleId="WW8Num4">
    <w:name w:val="WW8Num4"/>
    <w:basedOn w:val="Aucuneliste"/>
    <w:pPr>
      <w:numPr>
        <w:numId w:val="9"/>
      </w:numPr>
    </w:pPr>
  </w:style>
  <w:style w:type="numbering" w:customStyle="1" w:styleId="WW8Num8">
    <w:name w:val="WW8Num8"/>
    <w:basedOn w:val="Aucuneliste"/>
    <w:pPr>
      <w:numPr>
        <w:numId w:val="10"/>
      </w:numPr>
    </w:pPr>
  </w:style>
  <w:style w:type="numbering" w:customStyle="1" w:styleId="WW8Num5">
    <w:name w:val="WW8Num5"/>
    <w:basedOn w:val="Aucunelist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1687</Words>
  <Characters>9281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DESCOURRIERE Sandrine</cp:lastModifiedBy>
  <cp:revision>8</cp:revision>
  <dcterms:created xsi:type="dcterms:W3CDTF">2023-02-15T16:47:00Z</dcterms:created>
  <dcterms:modified xsi:type="dcterms:W3CDTF">2025-02-14T16:30:00Z</dcterms:modified>
</cp:coreProperties>
</file>