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C0" w:rsidRDefault="00F118C0">
      <w:pPr>
        <w:jc w:val="center"/>
      </w:pPr>
      <w:bookmarkStart w:id="0" w:name="_GoBack"/>
      <w:bookmarkEnd w:id="0"/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535"/>
        <w:gridCol w:w="5125"/>
        <w:gridCol w:w="2520"/>
      </w:tblGrid>
      <w:tr w:rsidR="00F118C0">
        <w:trPr>
          <w:cantSplit/>
        </w:trPr>
        <w:tc>
          <w:tcPr>
            <w:tcW w:w="1800" w:type="dxa"/>
            <w:tcBorders>
              <w:bottom w:val="nil"/>
            </w:tcBorders>
          </w:tcPr>
          <w:p w:rsidR="00F118C0" w:rsidRDefault="005F43E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8890</wp:posOffset>
                  </wp:positionV>
                  <wp:extent cx="741680" cy="975360"/>
                  <wp:effectExtent l="19050" t="0" r="1270" b="0"/>
                  <wp:wrapNone/>
                  <wp:docPr id="5" name="Image 5" descr="..\..\Téléchargements\MEDDE_complet_avec_jpeg_HD_cle12a2f1\web\Bloc-marque_MEDDE_mai_2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\..\Téléchargements\MEDDE_complet_avec_jpeg_HD_cle12a2f1\web\Bloc-marque_MEDDE_mai_2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0" w:type="dxa"/>
            <w:gridSpan w:val="3"/>
          </w:tcPr>
          <w:p w:rsidR="00F118C0" w:rsidRDefault="005F43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CONTROLE PERIODIQUE DE CERTAINES INSTALLATIONS </w:t>
            </w:r>
          </w:p>
          <w:p w:rsidR="00F118C0" w:rsidRDefault="005F43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CLASSEES SOUMISES A DECLARATION</w:t>
            </w:r>
          </w:p>
          <w:p w:rsidR="00F118C0" w:rsidRDefault="00F118C0">
            <w:pPr>
              <w:jc w:val="center"/>
              <w:rPr>
                <w:rFonts w:ascii="Arial" w:hAnsi="Arial" w:cs="Arial"/>
              </w:rPr>
            </w:pPr>
          </w:p>
          <w:p w:rsidR="00F118C0" w:rsidRDefault="005F43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Fiche Question/Réponse</w:t>
            </w:r>
          </w:p>
          <w:p w:rsidR="00F118C0" w:rsidRDefault="00F118C0">
            <w:pPr>
              <w:jc w:val="center"/>
              <w:rPr>
                <w:rFonts w:ascii="Arial" w:hAnsi="Arial" w:cs="Arial"/>
              </w:rPr>
            </w:pPr>
          </w:p>
        </w:tc>
      </w:tr>
      <w:tr w:rsidR="00F118C0">
        <w:trPr>
          <w:cantSplit/>
        </w:trPr>
        <w:tc>
          <w:tcPr>
            <w:tcW w:w="1800" w:type="dxa"/>
            <w:vMerge w:val="restart"/>
            <w:tcBorders>
              <w:top w:val="nil"/>
            </w:tcBorders>
          </w:tcPr>
          <w:p w:rsidR="00F118C0" w:rsidRDefault="00F118C0">
            <w:pPr>
              <w:rPr>
                <w:rFonts w:ascii="Arial" w:hAnsi="Arial" w:cs="Arial"/>
              </w:rPr>
            </w:pPr>
          </w:p>
          <w:p w:rsidR="00F118C0" w:rsidRDefault="005F43E4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Direction générale de la prévention des risques</w:t>
            </w:r>
          </w:p>
          <w:p w:rsidR="00F118C0" w:rsidRDefault="00F118C0">
            <w:pPr>
              <w:rPr>
                <w:rFonts w:ascii="Arial" w:hAnsi="Arial" w:cs="Arial"/>
                <w:sz w:val="14"/>
              </w:rPr>
            </w:pPr>
          </w:p>
          <w:p w:rsidR="00F118C0" w:rsidRDefault="005F4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Bureau de la nomenclature, des émissions industrielles et de la pollution des eaux</w:t>
            </w:r>
          </w:p>
        </w:tc>
        <w:tc>
          <w:tcPr>
            <w:tcW w:w="1535" w:type="dxa"/>
          </w:tcPr>
          <w:p w:rsidR="00F118C0" w:rsidRDefault="005F43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Référence</w:t>
            </w:r>
          </w:p>
        </w:tc>
        <w:tc>
          <w:tcPr>
            <w:tcW w:w="5125" w:type="dxa"/>
          </w:tcPr>
          <w:p w:rsidR="00F118C0" w:rsidRDefault="005F43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</w:p>
        </w:tc>
        <w:tc>
          <w:tcPr>
            <w:tcW w:w="2520" w:type="dxa"/>
          </w:tcPr>
          <w:p w:rsidR="00F118C0" w:rsidRDefault="005F43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</w:t>
            </w:r>
          </w:p>
        </w:tc>
      </w:tr>
      <w:tr w:rsidR="00F118C0">
        <w:trPr>
          <w:cantSplit/>
          <w:trHeight w:val="591"/>
        </w:trPr>
        <w:tc>
          <w:tcPr>
            <w:tcW w:w="1800" w:type="dxa"/>
            <w:vMerge/>
          </w:tcPr>
          <w:p w:rsidR="00F118C0" w:rsidRDefault="00F118C0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vAlign w:val="center"/>
          </w:tcPr>
          <w:p w:rsidR="00F118C0" w:rsidRDefault="005F43E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IR_</w:t>
            </w:r>
            <w:r w:rsidR="004E0E78">
              <w:rPr>
                <w:rFonts w:ascii="Arial" w:hAnsi="Arial" w:cs="Arial"/>
                <w:i/>
                <w:iCs/>
                <w:sz w:val="16"/>
              </w:rPr>
              <w:t>190321</w:t>
            </w:r>
            <w:r>
              <w:rPr>
                <w:rFonts w:ascii="Arial" w:hAnsi="Arial" w:cs="Arial"/>
                <w:i/>
                <w:iCs/>
                <w:sz w:val="16"/>
              </w:rPr>
              <w:t>_</w:t>
            </w:r>
            <w:r w:rsidR="004E0E78">
              <w:rPr>
                <w:rFonts w:ascii="Arial" w:hAnsi="Arial" w:cs="Arial"/>
                <w:i/>
                <w:iCs/>
                <w:sz w:val="16"/>
              </w:rPr>
              <w:t>2910</w:t>
            </w:r>
            <w:r>
              <w:rPr>
                <w:rFonts w:ascii="Arial" w:hAnsi="Arial" w:cs="Arial"/>
                <w:i/>
                <w:iCs/>
                <w:sz w:val="16"/>
              </w:rPr>
              <w:t>_</w:t>
            </w:r>
            <w:r w:rsidR="00932D17">
              <w:rPr>
                <w:rFonts w:ascii="Arial" w:hAnsi="Arial" w:cs="Arial"/>
                <w:i/>
                <w:iCs/>
                <w:sz w:val="16"/>
              </w:rPr>
              <w:t>puissance &lt; 1 MW</w:t>
            </w:r>
          </w:p>
        </w:tc>
        <w:tc>
          <w:tcPr>
            <w:tcW w:w="5125" w:type="dxa"/>
            <w:vAlign w:val="center"/>
          </w:tcPr>
          <w:p w:rsidR="00F118C0" w:rsidRDefault="00F118C0">
            <w:pPr>
              <w:jc w:val="center"/>
              <w:rPr>
                <w:rFonts w:ascii="Arial" w:hAnsi="Arial" w:cs="Arial"/>
                <w:sz w:val="16"/>
              </w:rPr>
            </w:pPr>
          </w:p>
          <w:p w:rsidR="00F118C0" w:rsidRDefault="00932D17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Comment prendre en compte les appareils de puissance thermique inférieure à 1 MW</w:t>
            </w:r>
          </w:p>
        </w:tc>
        <w:tc>
          <w:tcPr>
            <w:tcW w:w="2520" w:type="dxa"/>
            <w:vAlign w:val="center"/>
          </w:tcPr>
          <w:p w:rsidR="00F118C0" w:rsidRDefault="005F43E4">
            <w:pPr>
              <w:pStyle w:val="Retraitcorpsdetexte"/>
              <w:ind w:left="0" w:right="-250"/>
              <w:rPr>
                <w:i/>
                <w:iCs/>
              </w:rPr>
            </w:pPr>
            <w:r>
              <w:rPr>
                <w:i/>
                <w:iCs/>
              </w:rPr>
              <w:t>Cadre réservé à l’Administration</w:t>
            </w:r>
          </w:p>
          <w:p w:rsidR="00F118C0" w:rsidRDefault="00F118C0">
            <w:pPr>
              <w:ind w:left="110"/>
              <w:rPr>
                <w:rFonts w:ascii="Arial" w:hAnsi="Arial" w:cs="Arial"/>
                <w:sz w:val="16"/>
              </w:rPr>
            </w:pPr>
          </w:p>
          <w:p w:rsidR="00F118C0" w:rsidRDefault="005F43E4">
            <w:pPr>
              <w:ind w:left="2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 Rédaction =</w:t>
            </w:r>
            <w:r w:rsidR="009C251C">
              <w:rPr>
                <w:rFonts w:ascii="Arial" w:hAnsi="Arial" w:cs="Arial"/>
                <w:sz w:val="16"/>
              </w:rPr>
              <w:t xml:space="preserve"> BQA</w:t>
            </w:r>
          </w:p>
          <w:p w:rsidR="00F118C0" w:rsidRDefault="005F43E4">
            <w:pPr>
              <w:ind w:left="2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Validation =</w:t>
            </w:r>
          </w:p>
          <w:p w:rsidR="00F118C0" w:rsidRDefault="005F43E4">
            <w:pPr>
              <w:ind w:left="2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 Approbation =</w:t>
            </w:r>
          </w:p>
        </w:tc>
      </w:tr>
    </w:tbl>
    <w:p w:rsidR="00F118C0" w:rsidRDefault="00F118C0">
      <w:pPr>
        <w:rPr>
          <w:rFonts w:ascii="Arial" w:hAnsi="Arial" w:cs="Arial"/>
        </w:rPr>
      </w:pPr>
    </w:p>
    <w:p w:rsidR="00F118C0" w:rsidRDefault="00F118C0">
      <w:pPr>
        <w:rPr>
          <w:rFonts w:ascii="Arial" w:hAnsi="Arial" w:cs="Arial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5040"/>
      </w:tblGrid>
      <w:tr w:rsidR="00F118C0">
        <w:tc>
          <w:tcPr>
            <w:tcW w:w="5940" w:type="dxa"/>
          </w:tcPr>
          <w:p w:rsidR="00F118C0" w:rsidRDefault="005F4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Rubrique(s) principale(s) concernée(s) :  </w:t>
            </w:r>
          </w:p>
        </w:tc>
        <w:tc>
          <w:tcPr>
            <w:tcW w:w="5040" w:type="dxa"/>
          </w:tcPr>
          <w:p w:rsidR="00F118C0" w:rsidRDefault="005A5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2910</w:t>
            </w:r>
          </w:p>
        </w:tc>
      </w:tr>
      <w:tr w:rsidR="00F118C0">
        <w:tc>
          <w:tcPr>
            <w:tcW w:w="5940" w:type="dxa"/>
          </w:tcPr>
          <w:p w:rsidR="00F118C0" w:rsidRDefault="005F4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Rubrique(s) secondaire(s) susceptibles d’être concernée(s) :</w:t>
            </w:r>
          </w:p>
        </w:tc>
        <w:tc>
          <w:tcPr>
            <w:tcW w:w="5040" w:type="dxa"/>
          </w:tcPr>
          <w:p w:rsidR="00F118C0" w:rsidRDefault="00F118C0">
            <w:pPr>
              <w:rPr>
                <w:rFonts w:ascii="Arial" w:hAnsi="Arial" w:cs="Arial"/>
              </w:rPr>
            </w:pPr>
          </w:p>
        </w:tc>
      </w:tr>
      <w:tr w:rsidR="00F118C0">
        <w:tc>
          <w:tcPr>
            <w:tcW w:w="5940" w:type="dxa"/>
            <w:tcBorders>
              <w:bottom w:val="single" w:sz="4" w:space="0" w:color="auto"/>
            </w:tcBorders>
          </w:tcPr>
          <w:p w:rsidR="00F118C0" w:rsidRDefault="005F4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Mots-clés : 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F118C0" w:rsidRDefault="00932D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Puissance thermique nominale totale</w:t>
            </w:r>
          </w:p>
        </w:tc>
      </w:tr>
      <w:tr w:rsidR="00F118C0">
        <w:tc>
          <w:tcPr>
            <w:tcW w:w="5940" w:type="dxa"/>
            <w:tcBorders>
              <w:left w:val="nil"/>
              <w:right w:val="nil"/>
            </w:tcBorders>
          </w:tcPr>
          <w:p w:rsidR="00F118C0" w:rsidRDefault="00F118C0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</w:tcPr>
          <w:p w:rsidR="00F118C0" w:rsidRDefault="00F118C0">
            <w:pPr>
              <w:rPr>
                <w:rFonts w:ascii="Arial" w:hAnsi="Arial" w:cs="Arial"/>
              </w:rPr>
            </w:pPr>
          </w:p>
        </w:tc>
      </w:tr>
      <w:tr w:rsidR="00F118C0">
        <w:tc>
          <w:tcPr>
            <w:tcW w:w="5940" w:type="dxa"/>
          </w:tcPr>
          <w:p w:rsidR="00F118C0" w:rsidRDefault="005F4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Arrêté de prescriptions générales concerné (date)</w:t>
            </w:r>
          </w:p>
        </w:tc>
        <w:tc>
          <w:tcPr>
            <w:tcW w:w="5040" w:type="dxa"/>
          </w:tcPr>
          <w:p w:rsidR="00F118C0" w:rsidRDefault="005A5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03/08/2018</w:t>
            </w:r>
          </w:p>
        </w:tc>
      </w:tr>
      <w:tr w:rsidR="00F118C0">
        <w:tc>
          <w:tcPr>
            <w:tcW w:w="5940" w:type="dxa"/>
          </w:tcPr>
          <w:p w:rsidR="00F118C0" w:rsidRDefault="005F4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Article concerné (référence)</w:t>
            </w:r>
          </w:p>
        </w:tc>
        <w:tc>
          <w:tcPr>
            <w:tcW w:w="5040" w:type="dxa"/>
          </w:tcPr>
          <w:p w:rsidR="00F118C0" w:rsidRDefault="00932D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Annexe I : définitions</w:t>
            </w:r>
          </w:p>
        </w:tc>
      </w:tr>
    </w:tbl>
    <w:p w:rsidR="00F118C0" w:rsidRDefault="00F118C0">
      <w:pPr>
        <w:rPr>
          <w:rFonts w:ascii="Arial" w:hAnsi="Arial" w:cs="Arial"/>
        </w:rPr>
      </w:pPr>
    </w:p>
    <w:p w:rsidR="00F118C0" w:rsidRDefault="00F118C0">
      <w:pPr>
        <w:rPr>
          <w:rFonts w:ascii="Arial" w:hAnsi="Arial" w:cs="Arial"/>
        </w:rPr>
      </w:pPr>
    </w:p>
    <w:p w:rsidR="00F118C0" w:rsidRDefault="005F43E4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Question</w:t>
      </w:r>
      <w:r>
        <w:rPr>
          <w:rFonts w:ascii="Arial" w:hAnsi="Arial" w:cs="Arial"/>
        </w:rPr>
        <w:t> :</w:t>
      </w:r>
    </w:p>
    <w:p w:rsidR="00F118C0" w:rsidRDefault="00F118C0">
      <w:pPr>
        <w:rPr>
          <w:rFonts w:ascii="Arial" w:hAnsi="Arial" w:cs="Arial"/>
        </w:rPr>
      </w:pPr>
    </w:p>
    <w:p w:rsidR="0037170D" w:rsidRDefault="00932D17" w:rsidP="00371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définition de la </w:t>
      </w:r>
      <w:r w:rsidRPr="00932D17">
        <w:rPr>
          <w:rFonts w:ascii="Arial" w:hAnsi="Arial" w:cs="Arial"/>
          <w:u w:val="single"/>
        </w:rPr>
        <w:t>puissance thermique nominale de l’installation</w:t>
      </w:r>
      <w:r>
        <w:rPr>
          <w:rFonts w:ascii="Arial" w:hAnsi="Arial" w:cs="Arial"/>
        </w:rPr>
        <w:t>, dans le cadre d’information sur la rubrique 2910, est la suivante :</w:t>
      </w:r>
    </w:p>
    <w:p w:rsidR="00932D17" w:rsidRDefault="00932D17" w:rsidP="00371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 […] somme des puissances thermiques des appareils de combustion pouvant fonctionner simultanément sur le site. […] »</w:t>
      </w:r>
    </w:p>
    <w:p w:rsidR="00932D17" w:rsidRDefault="00932D17" w:rsidP="00371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C’est cette puissance thermique nominale qui est prise en compte pour le classement de l’installation au titre de cette rubrique 2910.</w:t>
      </w:r>
    </w:p>
    <w:p w:rsidR="00932D17" w:rsidRDefault="00932D17" w:rsidP="0037170D">
      <w:pPr>
        <w:jc w:val="both"/>
        <w:rPr>
          <w:rFonts w:ascii="Arial" w:hAnsi="Arial" w:cs="Arial"/>
        </w:rPr>
      </w:pPr>
    </w:p>
    <w:p w:rsidR="00F118C0" w:rsidRDefault="00932D17" w:rsidP="00932D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 dans les définitions au début de l’annexe I de l’arrêté du 3 août 2018, se trouve la définition de la </w:t>
      </w:r>
      <w:r w:rsidRPr="00932D17">
        <w:rPr>
          <w:rFonts w:ascii="Arial" w:hAnsi="Arial" w:cs="Arial"/>
          <w:u w:val="single"/>
        </w:rPr>
        <w:t xml:space="preserve">puissance thermique nominale </w:t>
      </w:r>
      <w:r w:rsidRPr="00932D17">
        <w:rPr>
          <w:rFonts w:ascii="Arial" w:hAnsi="Arial" w:cs="Arial"/>
          <w:b/>
          <w:u w:val="single"/>
        </w:rPr>
        <w:t>totale</w:t>
      </w:r>
      <w:r w:rsidRPr="00932D17">
        <w:rPr>
          <w:rFonts w:ascii="Arial" w:hAnsi="Arial" w:cs="Arial"/>
          <w:u w:val="single"/>
        </w:rPr>
        <w:t xml:space="preserve"> de l’installation</w:t>
      </w:r>
      <w:r>
        <w:rPr>
          <w:rFonts w:ascii="Arial" w:hAnsi="Arial" w:cs="Arial"/>
        </w:rPr>
        <w:t xml:space="preserve">, qui correspond à la </w:t>
      </w:r>
      <w:r w:rsidRPr="00932D17">
        <w:rPr>
          <w:rFonts w:ascii="Arial" w:hAnsi="Arial" w:cs="Arial"/>
        </w:rPr>
        <w:t xml:space="preserve">somme des puissances thermiques nominales de tous les appareils de combustion unitaires de puissance thermique nominale supérieure ou égale à 1 MW qui composent l'installation de combustion </w:t>
      </w:r>
      <w:r>
        <w:rPr>
          <w:rFonts w:ascii="Arial" w:hAnsi="Arial" w:cs="Arial"/>
        </w:rPr>
        <w:t>[…].</w:t>
      </w:r>
    </w:p>
    <w:p w:rsidR="00F118C0" w:rsidRDefault="00F118C0">
      <w:pPr>
        <w:pStyle w:val="Corpsdetexte3"/>
      </w:pPr>
    </w:p>
    <w:p w:rsidR="00932D17" w:rsidRDefault="00932D17">
      <w:pPr>
        <w:pStyle w:val="Corpsdetexte3"/>
        <w:rPr>
          <w:i w:val="0"/>
        </w:rPr>
      </w:pPr>
      <w:r>
        <w:rPr>
          <w:i w:val="0"/>
        </w:rPr>
        <w:t>La question est de savoir s’il existe une différence entre ces deux définitions et si oui, quelle est-elle ?</w:t>
      </w:r>
    </w:p>
    <w:p w:rsidR="00932D17" w:rsidRDefault="00932D17">
      <w:pPr>
        <w:pStyle w:val="Corpsdetexte3"/>
        <w:rPr>
          <w:i w:val="0"/>
        </w:rPr>
      </w:pPr>
    </w:p>
    <w:p w:rsidR="00932D17" w:rsidRDefault="00932D17">
      <w:pPr>
        <w:pStyle w:val="Corpsdetexte3"/>
        <w:rPr>
          <w:i w:val="0"/>
        </w:rPr>
      </w:pPr>
      <w:r w:rsidRPr="00932D17">
        <w:rPr>
          <w:i w:val="0"/>
          <w:u w:val="single"/>
        </w:rPr>
        <w:t>Implication :</w:t>
      </w:r>
      <w:r>
        <w:rPr>
          <w:i w:val="0"/>
        </w:rPr>
        <w:t xml:space="preserve"> l’application de la 1</w:t>
      </w:r>
      <w:r w:rsidRPr="00932D17">
        <w:rPr>
          <w:i w:val="0"/>
          <w:vertAlign w:val="superscript"/>
        </w:rPr>
        <w:t>ère</w:t>
      </w:r>
      <w:r>
        <w:rPr>
          <w:i w:val="0"/>
        </w:rPr>
        <w:t xml:space="preserve"> définition implique qu’une installation comportant plusieurs appareils de puissance thermique unitaire inférieure à 1MW mais dont la somme dépasse ce seuil est classée à Déclaration sous la rubrique 2910.</w:t>
      </w:r>
    </w:p>
    <w:p w:rsidR="00932D17" w:rsidRDefault="00932D17">
      <w:pPr>
        <w:pStyle w:val="Corpsdetexte3"/>
        <w:rPr>
          <w:i w:val="0"/>
        </w:rPr>
      </w:pPr>
    </w:p>
    <w:p w:rsidR="00932D17" w:rsidRPr="00932D17" w:rsidRDefault="00932D17">
      <w:pPr>
        <w:pStyle w:val="Corpsdetexte3"/>
        <w:rPr>
          <w:i w:val="0"/>
        </w:rPr>
      </w:pPr>
      <w:r>
        <w:rPr>
          <w:i w:val="0"/>
        </w:rPr>
        <w:t>L’application de la 2</w:t>
      </w:r>
      <w:r w:rsidRPr="00932D17">
        <w:rPr>
          <w:i w:val="0"/>
          <w:vertAlign w:val="superscript"/>
        </w:rPr>
        <w:t>nde</w:t>
      </w:r>
      <w:r>
        <w:rPr>
          <w:i w:val="0"/>
        </w:rPr>
        <w:t xml:space="preserve"> définition exclue quant à elle ces installations de la rubrique 2910.</w:t>
      </w:r>
    </w:p>
    <w:p w:rsidR="00F118C0" w:rsidRDefault="00F118C0">
      <w:pPr>
        <w:pStyle w:val="Corpsdetexte3"/>
      </w:pPr>
    </w:p>
    <w:p w:rsidR="00F118C0" w:rsidRDefault="00F118C0">
      <w:pPr>
        <w:rPr>
          <w:rFonts w:ascii="Arial" w:hAnsi="Arial" w:cs="Arial"/>
        </w:rPr>
      </w:pPr>
    </w:p>
    <w:p w:rsidR="00F118C0" w:rsidRDefault="005F43E4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Réponse</w:t>
      </w:r>
      <w:r>
        <w:rPr>
          <w:rFonts w:ascii="Arial" w:hAnsi="Arial" w:cs="Arial"/>
        </w:rPr>
        <w:t> :</w:t>
      </w:r>
    </w:p>
    <w:p w:rsidR="00F118C0" w:rsidRDefault="00F118C0">
      <w:pPr>
        <w:rPr>
          <w:rFonts w:ascii="Arial" w:hAnsi="Arial" w:cs="Arial"/>
        </w:rPr>
      </w:pPr>
    </w:p>
    <w:p w:rsidR="006902B4" w:rsidRDefault="00980F81" w:rsidP="00980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existe bien une différence entre les deux définitions : </w:t>
      </w:r>
    </w:p>
    <w:p w:rsidR="006902B4" w:rsidRDefault="006902B4" w:rsidP="006902B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</w:t>
      </w:r>
      <w:r w:rsidR="00FC2929">
        <w:rPr>
          <w:rFonts w:ascii="Arial" w:hAnsi="Arial" w:cs="Arial"/>
        </w:rPr>
        <w:t>d</w:t>
      </w:r>
      <w:r>
        <w:rPr>
          <w:rFonts w:ascii="Arial" w:hAnsi="Arial" w:cs="Arial"/>
        </w:rPr>
        <w:t>éfinition</w:t>
      </w:r>
      <w:r w:rsidR="00980F81" w:rsidRPr="006902B4">
        <w:rPr>
          <w:rFonts w:ascii="Arial" w:hAnsi="Arial" w:cs="Arial"/>
        </w:rPr>
        <w:t xml:space="preserve"> </w:t>
      </w:r>
      <w:r w:rsidR="00FC2929">
        <w:rPr>
          <w:rFonts w:ascii="Arial" w:hAnsi="Arial" w:cs="Arial"/>
        </w:rPr>
        <w:t xml:space="preserve">de la puissance thermique utilisée dans la nomenclature ICPE </w:t>
      </w:r>
      <w:r w:rsidR="00980F81" w:rsidRPr="006902B4">
        <w:rPr>
          <w:rFonts w:ascii="Arial" w:hAnsi="Arial" w:cs="Arial"/>
        </w:rPr>
        <w:t xml:space="preserve">permet de déterminer le classement </w:t>
      </w:r>
      <w:r w:rsidR="00FC2929">
        <w:rPr>
          <w:rFonts w:ascii="Arial" w:hAnsi="Arial" w:cs="Arial"/>
        </w:rPr>
        <w:t xml:space="preserve">de l’installation </w:t>
      </w:r>
      <w:r w:rsidR="00980F81" w:rsidRPr="006902B4">
        <w:rPr>
          <w:rFonts w:ascii="Arial" w:hAnsi="Arial" w:cs="Arial"/>
        </w:rPr>
        <w:t xml:space="preserve">au titre de la rubrique 2910, </w:t>
      </w:r>
    </w:p>
    <w:p w:rsidR="00980F81" w:rsidRPr="00FC2929" w:rsidRDefault="006902B4" w:rsidP="00E06903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FC2929">
        <w:rPr>
          <w:rFonts w:ascii="Arial" w:hAnsi="Arial" w:cs="Arial"/>
        </w:rPr>
        <w:lastRenderedPageBreak/>
        <w:t>la définition</w:t>
      </w:r>
      <w:r w:rsidR="00980F81" w:rsidRPr="00FC2929">
        <w:rPr>
          <w:rFonts w:ascii="Arial" w:hAnsi="Arial" w:cs="Arial"/>
        </w:rPr>
        <w:t xml:space="preserve"> </w:t>
      </w:r>
      <w:r w:rsidR="00FC2929" w:rsidRPr="00FC2929">
        <w:rPr>
          <w:rFonts w:ascii="Arial" w:hAnsi="Arial" w:cs="Arial"/>
        </w:rPr>
        <w:t>de la puissance thermique d</w:t>
      </w:r>
      <w:r w:rsidR="00FC2929" w:rsidRPr="00FC2929">
        <w:rPr>
          <w:rFonts w:ascii="Arial" w:hAnsi="Arial" w:cs="Arial" w:hint="eastAsia"/>
        </w:rPr>
        <w:t>’</w:t>
      </w:r>
      <w:r w:rsidR="00FC2929" w:rsidRPr="00FC2929">
        <w:rPr>
          <w:rFonts w:ascii="Arial" w:hAnsi="Arial" w:cs="Arial"/>
        </w:rPr>
        <w:t>une installation de combustion utilisée dans l</w:t>
      </w:r>
      <w:r w:rsidR="00FC2929" w:rsidRPr="00FC2929">
        <w:rPr>
          <w:rFonts w:ascii="Arial" w:hAnsi="Arial" w:cs="Arial" w:hint="eastAsia"/>
        </w:rPr>
        <w:t>’</w:t>
      </w:r>
      <w:r w:rsidR="00FC2929">
        <w:rPr>
          <w:rFonts w:ascii="Arial" w:hAnsi="Arial" w:cs="Arial"/>
        </w:rPr>
        <w:t>a</w:t>
      </w:r>
      <w:r w:rsidR="00FC2929" w:rsidRPr="00FC2929">
        <w:rPr>
          <w:rFonts w:ascii="Arial" w:hAnsi="Arial" w:cs="Arial"/>
        </w:rPr>
        <w:t>nnexe I de l</w:t>
      </w:r>
      <w:r w:rsidR="00FC2929" w:rsidRPr="00FC2929">
        <w:rPr>
          <w:rFonts w:ascii="Arial" w:hAnsi="Arial" w:cs="Arial" w:hint="eastAsia"/>
        </w:rPr>
        <w:t>’</w:t>
      </w:r>
      <w:r w:rsidR="00FC2929" w:rsidRPr="00FC2929">
        <w:rPr>
          <w:rFonts w:ascii="Arial" w:hAnsi="Arial" w:cs="Arial"/>
        </w:rPr>
        <w:t xml:space="preserve">arrêté ministériel du 3 aout 2018 </w:t>
      </w:r>
      <w:r w:rsidR="00FC2929">
        <w:rPr>
          <w:rFonts w:ascii="Arial" w:hAnsi="Arial" w:cs="Arial"/>
        </w:rPr>
        <w:t>(</w:t>
      </w:r>
      <w:r w:rsidR="00FC2929" w:rsidRPr="00FC2929">
        <w:rPr>
          <w:rFonts w:ascii="Arial" w:hAnsi="Arial" w:cs="Arial"/>
        </w:rPr>
        <w:t>Déclaration</w:t>
      </w:r>
      <w:r w:rsidR="00FC2929">
        <w:rPr>
          <w:rFonts w:ascii="Arial" w:hAnsi="Arial" w:cs="Arial"/>
        </w:rPr>
        <w:t>)</w:t>
      </w:r>
      <w:r w:rsidR="00FC2929" w:rsidRPr="00FC2929">
        <w:rPr>
          <w:rFonts w:ascii="Arial" w:hAnsi="Arial" w:cs="Arial"/>
        </w:rPr>
        <w:t xml:space="preserve"> est utilisée pour déterminer </w:t>
      </w:r>
      <w:r w:rsidR="00FC2929">
        <w:rPr>
          <w:rFonts w:ascii="Arial" w:hAnsi="Arial" w:cs="Arial"/>
        </w:rPr>
        <w:t>l</w:t>
      </w:r>
      <w:r w:rsidR="00FC2929" w:rsidRPr="00FC2929">
        <w:rPr>
          <w:rFonts w:ascii="Arial" w:hAnsi="Arial" w:cs="Arial"/>
        </w:rPr>
        <w:t>es valeurs limites d</w:t>
      </w:r>
      <w:r w:rsidR="00FC2929" w:rsidRPr="00FC2929">
        <w:rPr>
          <w:rFonts w:ascii="Arial" w:hAnsi="Arial" w:cs="Arial" w:hint="eastAsia"/>
        </w:rPr>
        <w:t>’</w:t>
      </w:r>
      <w:r w:rsidR="00FC2929" w:rsidRPr="00FC2929">
        <w:rPr>
          <w:rFonts w:ascii="Arial" w:hAnsi="Arial" w:cs="Arial"/>
        </w:rPr>
        <w:t>émission</w:t>
      </w:r>
      <w:r w:rsidR="00FC2929">
        <w:rPr>
          <w:rFonts w:ascii="Arial" w:hAnsi="Arial" w:cs="Arial"/>
        </w:rPr>
        <w:t xml:space="preserve"> </w:t>
      </w:r>
      <w:r w:rsidRPr="00FC2929">
        <w:rPr>
          <w:rFonts w:ascii="Arial" w:hAnsi="Arial" w:cs="Arial"/>
        </w:rPr>
        <w:t>qui seront applicables à</w:t>
      </w:r>
      <w:r w:rsidR="00122682" w:rsidRPr="00FC2929">
        <w:rPr>
          <w:rFonts w:ascii="Arial" w:hAnsi="Arial" w:cs="Arial"/>
        </w:rPr>
        <w:t xml:space="preserve"> l’installation de combustion</w:t>
      </w:r>
      <w:r w:rsidR="00980F81" w:rsidRPr="00FC2929">
        <w:rPr>
          <w:rFonts w:ascii="Arial" w:hAnsi="Arial" w:cs="Arial"/>
        </w:rPr>
        <w:t>.</w:t>
      </w:r>
      <w:r w:rsidR="009C2424" w:rsidRPr="00FC2929">
        <w:rPr>
          <w:rFonts w:ascii="Arial" w:hAnsi="Arial" w:cs="Arial"/>
        </w:rPr>
        <w:t xml:space="preserve"> </w:t>
      </w:r>
    </w:p>
    <w:p w:rsidR="000D65C0" w:rsidRDefault="000D65C0" w:rsidP="00980F81">
      <w:pPr>
        <w:jc w:val="both"/>
        <w:rPr>
          <w:rFonts w:ascii="Arial" w:hAnsi="Arial" w:cs="Arial"/>
        </w:rPr>
      </w:pPr>
    </w:p>
    <w:p w:rsidR="00980F81" w:rsidRDefault="00980F81" w:rsidP="00980F81">
      <w:pPr>
        <w:jc w:val="both"/>
        <w:rPr>
          <w:rFonts w:ascii="Arial" w:hAnsi="Arial" w:cs="Arial"/>
        </w:rPr>
      </w:pPr>
    </w:p>
    <w:p w:rsidR="00980F81" w:rsidRDefault="00980F81" w:rsidP="00980F81">
      <w:pPr>
        <w:jc w:val="both"/>
        <w:rPr>
          <w:rFonts w:ascii="Arial" w:hAnsi="Arial" w:cs="Arial"/>
        </w:rPr>
      </w:pPr>
      <w:r w:rsidRPr="009C2424">
        <w:rPr>
          <w:rFonts w:ascii="Arial" w:hAnsi="Arial" w:cs="Arial"/>
          <w:u w:val="single"/>
        </w:rPr>
        <w:t xml:space="preserve">1/ Déterminer le classement </w:t>
      </w:r>
      <w:r w:rsidR="000D65C0">
        <w:rPr>
          <w:rFonts w:ascii="Arial" w:hAnsi="Arial" w:cs="Arial"/>
          <w:u w:val="single"/>
        </w:rPr>
        <w:t xml:space="preserve">en </w:t>
      </w:r>
      <w:r w:rsidRPr="009C2424">
        <w:rPr>
          <w:rFonts w:ascii="Arial" w:hAnsi="Arial" w:cs="Arial"/>
          <w:u w:val="single"/>
        </w:rPr>
        <w:t>3110</w:t>
      </w:r>
      <w:r w:rsidR="00122682">
        <w:rPr>
          <w:rFonts w:ascii="Arial" w:hAnsi="Arial" w:cs="Arial"/>
          <w:u w:val="single"/>
        </w:rPr>
        <w:t xml:space="preserve"> ou 2910</w:t>
      </w:r>
      <w:r>
        <w:rPr>
          <w:rFonts w:ascii="Arial" w:hAnsi="Arial" w:cs="Arial"/>
        </w:rPr>
        <w:t> </w:t>
      </w:r>
    </w:p>
    <w:p w:rsidR="00980F81" w:rsidRDefault="00980F81" w:rsidP="00980F81">
      <w:pPr>
        <w:jc w:val="both"/>
        <w:rPr>
          <w:rFonts w:ascii="Arial" w:hAnsi="Arial" w:cs="Arial"/>
        </w:rPr>
      </w:pPr>
    </w:p>
    <w:p w:rsidR="009C2424" w:rsidRDefault="00980F81" w:rsidP="00980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déterminer le classement ICPE, il convient </w:t>
      </w:r>
      <w:r w:rsidR="00122682">
        <w:rPr>
          <w:rFonts w:ascii="Arial" w:hAnsi="Arial" w:cs="Arial"/>
        </w:rPr>
        <w:t xml:space="preserve">d’abord </w:t>
      </w:r>
      <w:r>
        <w:rPr>
          <w:rFonts w:ascii="Arial" w:hAnsi="Arial" w:cs="Arial"/>
        </w:rPr>
        <w:t xml:space="preserve">de calculer </w:t>
      </w:r>
      <w:r w:rsidRPr="00980F81">
        <w:rPr>
          <w:rFonts w:ascii="Arial" w:hAnsi="Arial" w:cs="Arial"/>
        </w:rPr>
        <w:t xml:space="preserve">la puissance thermique nominale de </w:t>
      </w:r>
      <w:r w:rsidRPr="009C2424">
        <w:rPr>
          <w:rFonts w:ascii="Arial" w:hAnsi="Arial" w:cs="Arial"/>
          <w:u w:val="single"/>
        </w:rPr>
        <w:t>toutes les activités de combustion de l</w:t>
      </w:r>
      <w:r w:rsidRPr="009C2424">
        <w:rPr>
          <w:rFonts w:ascii="Arial" w:hAnsi="Arial" w:cs="Arial" w:hint="eastAsia"/>
          <w:u w:val="single"/>
        </w:rPr>
        <w:t>’</w:t>
      </w:r>
      <w:r w:rsidRPr="009C2424">
        <w:rPr>
          <w:rFonts w:ascii="Arial" w:hAnsi="Arial" w:cs="Arial"/>
          <w:u w:val="single"/>
        </w:rPr>
        <w:t>établissement</w:t>
      </w:r>
      <w:r w:rsidRPr="00980F81">
        <w:rPr>
          <w:rFonts w:ascii="Arial" w:hAnsi="Arial" w:cs="Arial"/>
        </w:rPr>
        <w:t>, quelle que soit</w:t>
      </w:r>
      <w:r>
        <w:rPr>
          <w:rFonts w:ascii="Arial" w:hAnsi="Arial" w:cs="Arial"/>
        </w:rPr>
        <w:t xml:space="preserve"> </w:t>
      </w:r>
      <w:r w:rsidRPr="00980F81">
        <w:rPr>
          <w:rFonts w:ascii="Arial" w:hAnsi="Arial" w:cs="Arial"/>
        </w:rPr>
        <w:t>leur puissance, exploit</w:t>
      </w:r>
      <w:r w:rsidR="009C2424">
        <w:rPr>
          <w:rFonts w:ascii="Arial" w:hAnsi="Arial" w:cs="Arial"/>
        </w:rPr>
        <w:t>é</w:t>
      </w:r>
      <w:r w:rsidRPr="00980F81">
        <w:rPr>
          <w:rFonts w:ascii="Arial" w:hAnsi="Arial" w:cs="Arial"/>
        </w:rPr>
        <w:t>s par un même exploitant sur</w:t>
      </w:r>
      <w:r>
        <w:rPr>
          <w:rFonts w:ascii="Arial" w:hAnsi="Arial" w:cs="Arial"/>
        </w:rPr>
        <w:t xml:space="preserve"> </w:t>
      </w:r>
      <w:r w:rsidRPr="00980F81">
        <w:rPr>
          <w:rFonts w:ascii="Arial" w:hAnsi="Arial" w:cs="Arial"/>
        </w:rPr>
        <w:t>un même site, pou</w:t>
      </w:r>
      <w:r>
        <w:rPr>
          <w:rFonts w:ascii="Arial" w:hAnsi="Arial" w:cs="Arial"/>
        </w:rPr>
        <w:t>vant fonctionner simultanément.</w:t>
      </w:r>
    </w:p>
    <w:p w:rsidR="00980F81" w:rsidRDefault="00980F81" w:rsidP="00980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0F81" w:rsidRDefault="009C2424" w:rsidP="00980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c</w:t>
      </w:r>
      <w:r w:rsidR="00980F81" w:rsidRPr="00980F81">
        <w:rPr>
          <w:rFonts w:ascii="Arial" w:hAnsi="Arial" w:cs="Arial"/>
        </w:rPr>
        <w:t xml:space="preserve">ette puissance </w:t>
      </w:r>
      <w:r>
        <w:rPr>
          <w:rFonts w:ascii="Arial" w:hAnsi="Arial" w:cs="Arial"/>
        </w:rPr>
        <w:t xml:space="preserve">est supérieure ou égale à 50 MW alors les activités de combustion de l’établissement relèvent de la rubrique </w:t>
      </w:r>
      <w:r w:rsidR="00980F81" w:rsidRPr="00980F81">
        <w:rPr>
          <w:rFonts w:ascii="Arial" w:hAnsi="Arial" w:cs="Arial"/>
        </w:rPr>
        <w:t>3110 de la nomenclature</w:t>
      </w:r>
      <w:r w:rsidR="00980F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ICPE, sous le régime de l’autorisation. L’établissement est soumis au chapitre II de la directive IED.</w:t>
      </w:r>
    </w:p>
    <w:p w:rsidR="009C2424" w:rsidRPr="00980F81" w:rsidRDefault="009C2424" w:rsidP="00980F81">
      <w:pPr>
        <w:jc w:val="both"/>
        <w:rPr>
          <w:rFonts w:ascii="Arial" w:hAnsi="Arial" w:cs="Arial"/>
        </w:rPr>
      </w:pPr>
    </w:p>
    <w:p w:rsidR="00980F81" w:rsidRDefault="009C2424" w:rsidP="00980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c</w:t>
      </w:r>
      <w:r w:rsidRPr="00980F81">
        <w:rPr>
          <w:rFonts w:ascii="Arial" w:hAnsi="Arial" w:cs="Arial"/>
        </w:rPr>
        <w:t xml:space="preserve">ette puissance </w:t>
      </w:r>
      <w:r>
        <w:rPr>
          <w:rFonts w:ascii="Arial" w:hAnsi="Arial" w:cs="Arial"/>
        </w:rPr>
        <w:t xml:space="preserve">est inférieure à 50 MW </w:t>
      </w:r>
      <w:r w:rsidR="00980F81">
        <w:rPr>
          <w:rFonts w:ascii="Arial" w:hAnsi="Arial" w:cs="Arial"/>
        </w:rPr>
        <w:t xml:space="preserve">alors </w:t>
      </w:r>
      <w:r>
        <w:rPr>
          <w:rFonts w:ascii="Arial" w:hAnsi="Arial" w:cs="Arial"/>
        </w:rPr>
        <w:t xml:space="preserve">les </w:t>
      </w:r>
      <w:r w:rsidRPr="000D65C0">
        <w:rPr>
          <w:rFonts w:ascii="Arial" w:hAnsi="Arial" w:cs="Arial"/>
          <w:u w:val="single"/>
        </w:rPr>
        <w:t>activités de combustion de l’établissement</w:t>
      </w:r>
      <w:r>
        <w:rPr>
          <w:rFonts w:ascii="Arial" w:hAnsi="Arial" w:cs="Arial"/>
        </w:rPr>
        <w:t xml:space="preserve"> ne relèvent pas de la rubrique 3110 mais les</w:t>
      </w:r>
      <w:r w:rsidR="00980F81">
        <w:rPr>
          <w:rFonts w:ascii="Arial" w:hAnsi="Arial" w:cs="Arial"/>
        </w:rPr>
        <w:t xml:space="preserve"> </w:t>
      </w:r>
      <w:r w:rsidRPr="000D65C0">
        <w:rPr>
          <w:rFonts w:ascii="Arial" w:hAnsi="Arial" w:cs="Arial"/>
          <w:u w:val="single"/>
        </w:rPr>
        <w:t>installation</w:t>
      </w:r>
      <w:r w:rsidR="00980F81" w:rsidRPr="000D65C0">
        <w:rPr>
          <w:rFonts w:ascii="Arial" w:hAnsi="Arial" w:cs="Arial"/>
          <w:u w:val="single"/>
        </w:rPr>
        <w:t>s de combustion</w:t>
      </w:r>
      <w:r w:rsidR="00980F81" w:rsidRPr="00980F81">
        <w:rPr>
          <w:rFonts w:ascii="Arial" w:hAnsi="Arial" w:cs="Arial"/>
        </w:rPr>
        <w:t xml:space="preserve"> </w:t>
      </w:r>
      <w:r w:rsidR="00980F81">
        <w:rPr>
          <w:rFonts w:ascii="Arial" w:hAnsi="Arial" w:cs="Arial"/>
        </w:rPr>
        <w:t xml:space="preserve">peuvent </w:t>
      </w:r>
      <w:r w:rsidR="00980F81" w:rsidRPr="00980F81">
        <w:rPr>
          <w:rFonts w:ascii="Arial" w:hAnsi="Arial" w:cs="Arial"/>
        </w:rPr>
        <w:t>releve</w:t>
      </w:r>
      <w:r w:rsidR="00980F81">
        <w:rPr>
          <w:rFonts w:ascii="Arial" w:hAnsi="Arial" w:cs="Arial"/>
        </w:rPr>
        <w:t>r</w:t>
      </w:r>
      <w:r w:rsidR="00980F81" w:rsidRPr="00980F81">
        <w:rPr>
          <w:rFonts w:ascii="Arial" w:hAnsi="Arial" w:cs="Arial"/>
        </w:rPr>
        <w:t xml:space="preserve"> de la rubrique 2910.</w:t>
      </w:r>
    </w:p>
    <w:p w:rsidR="00980F81" w:rsidRPr="00980F81" w:rsidRDefault="00980F81" w:rsidP="00980F81">
      <w:pPr>
        <w:jc w:val="both"/>
        <w:rPr>
          <w:rFonts w:ascii="Arial" w:hAnsi="Arial" w:cs="Arial"/>
        </w:rPr>
      </w:pPr>
    </w:p>
    <w:p w:rsidR="00980F81" w:rsidRPr="009C2424" w:rsidRDefault="000D65C0" w:rsidP="00980F8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Nota</w:t>
      </w:r>
      <w:r w:rsidR="00980F81" w:rsidRPr="009C2424">
        <w:rPr>
          <w:rFonts w:ascii="Arial" w:hAnsi="Arial" w:cs="Arial"/>
          <w:i/>
        </w:rPr>
        <w:t xml:space="preserve"> : Il ne peut pas y avoir de double classement 2910 et 3110. Par contre, un établissement peut comporter plusieurs installations de combustion classées en 2910-A et/ou 2910-B.</w:t>
      </w:r>
    </w:p>
    <w:p w:rsidR="00980F81" w:rsidRDefault="00980F81" w:rsidP="00980F81">
      <w:pPr>
        <w:jc w:val="both"/>
        <w:rPr>
          <w:rFonts w:ascii="Arial" w:hAnsi="Arial" w:cs="Arial"/>
        </w:rPr>
      </w:pPr>
    </w:p>
    <w:p w:rsidR="000D65C0" w:rsidRPr="000D65C0" w:rsidRDefault="009C2424" w:rsidP="000D65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déterminer le classement </w:t>
      </w:r>
      <w:r w:rsidR="00122682">
        <w:rPr>
          <w:rFonts w:ascii="Arial" w:hAnsi="Arial" w:cs="Arial"/>
        </w:rPr>
        <w:t xml:space="preserve">de la ou </w:t>
      </w:r>
      <w:r>
        <w:rPr>
          <w:rFonts w:ascii="Arial" w:hAnsi="Arial" w:cs="Arial"/>
        </w:rPr>
        <w:t>des installation</w:t>
      </w:r>
      <w:r w:rsidR="00122682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12268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de combustion </w:t>
      </w:r>
      <w:r w:rsidR="00122682">
        <w:rPr>
          <w:rFonts w:ascii="Arial" w:hAnsi="Arial" w:cs="Arial"/>
        </w:rPr>
        <w:t xml:space="preserve">de l’établissement </w:t>
      </w:r>
      <w:r>
        <w:rPr>
          <w:rFonts w:ascii="Arial" w:hAnsi="Arial" w:cs="Arial"/>
        </w:rPr>
        <w:t>sous la rubrique 2910</w:t>
      </w:r>
      <w:r w:rsidR="000D65C0">
        <w:rPr>
          <w:rFonts w:ascii="Arial" w:hAnsi="Arial" w:cs="Arial"/>
        </w:rPr>
        <w:t xml:space="preserve">, il convient de prendre </w:t>
      </w:r>
      <w:r w:rsidR="000D65C0" w:rsidRPr="000D65C0">
        <w:rPr>
          <w:rFonts w:ascii="Arial" w:hAnsi="Arial" w:cs="Arial"/>
        </w:rPr>
        <w:t>en compte les puissances de l</w:t>
      </w:r>
      <w:r w:rsidR="000D65C0" w:rsidRPr="000D65C0">
        <w:rPr>
          <w:rFonts w:ascii="Arial" w:hAnsi="Arial" w:cs="Arial" w:hint="eastAsia"/>
        </w:rPr>
        <w:t xml:space="preserve">’ensemble des appareils </w:t>
      </w:r>
      <w:r w:rsidR="000D65C0" w:rsidRPr="000D65C0">
        <w:rPr>
          <w:rFonts w:ascii="Cambria Math" w:hAnsi="Cambria Math" w:cs="Cambria Math"/>
        </w:rPr>
        <w:t>≪</w:t>
      </w:r>
      <w:r w:rsidR="000D65C0" w:rsidRPr="000D65C0">
        <w:rPr>
          <w:rFonts w:ascii="Arial" w:hAnsi="Arial" w:cs="Arial" w:hint="eastAsia"/>
        </w:rPr>
        <w:t xml:space="preserve"> pouvant </w:t>
      </w:r>
      <w:r w:rsidR="000D65C0" w:rsidRPr="000D65C0">
        <w:rPr>
          <w:rFonts w:ascii="Arial" w:hAnsi="Arial" w:cs="Arial"/>
        </w:rPr>
        <w:t>être</w:t>
      </w:r>
      <w:r w:rsidR="000D65C0" w:rsidRPr="000D65C0">
        <w:rPr>
          <w:rFonts w:ascii="Arial" w:hAnsi="Arial" w:cs="Arial" w:hint="eastAsia"/>
        </w:rPr>
        <w:t xml:space="preserve"> raccord</w:t>
      </w:r>
      <w:r w:rsidR="000D65C0">
        <w:rPr>
          <w:rFonts w:ascii="Arial" w:hAnsi="Arial" w:cs="Arial"/>
        </w:rPr>
        <w:t>é</w:t>
      </w:r>
      <w:r w:rsidR="000D65C0" w:rsidRPr="000D65C0">
        <w:rPr>
          <w:rFonts w:ascii="Arial" w:hAnsi="Arial" w:cs="Arial" w:hint="eastAsia"/>
        </w:rPr>
        <w:t xml:space="preserve">s </w:t>
      </w:r>
      <w:r w:rsidR="000D65C0">
        <w:rPr>
          <w:rFonts w:ascii="Arial" w:hAnsi="Arial" w:cs="Arial"/>
        </w:rPr>
        <w:t>à</w:t>
      </w:r>
      <w:r w:rsidR="000D65C0" w:rsidRPr="000D65C0">
        <w:rPr>
          <w:rFonts w:ascii="Arial" w:hAnsi="Arial" w:cs="Arial" w:hint="eastAsia"/>
        </w:rPr>
        <w:t xml:space="preserve"> une </w:t>
      </w:r>
      <w:r w:rsidR="000D65C0" w:rsidRPr="000D65C0">
        <w:rPr>
          <w:rFonts w:ascii="Arial" w:hAnsi="Arial" w:cs="Arial"/>
        </w:rPr>
        <w:t>cheminée</w:t>
      </w:r>
      <w:r w:rsidR="000D65C0">
        <w:rPr>
          <w:rFonts w:ascii="Arial" w:hAnsi="Arial" w:cs="Arial"/>
        </w:rPr>
        <w:t xml:space="preserve"> </w:t>
      </w:r>
      <w:r w:rsidR="000D65C0" w:rsidRPr="000D65C0">
        <w:rPr>
          <w:rFonts w:ascii="Arial" w:hAnsi="Arial" w:cs="Arial" w:hint="eastAsia"/>
        </w:rPr>
        <w:t xml:space="preserve">commune </w:t>
      </w:r>
      <w:r w:rsidR="000D65C0" w:rsidRPr="000D65C0">
        <w:rPr>
          <w:rFonts w:ascii="Cambria Math" w:hAnsi="Cambria Math" w:cs="Cambria Math"/>
        </w:rPr>
        <w:t>≫</w:t>
      </w:r>
      <w:r w:rsidR="000D65C0" w:rsidRPr="000D65C0">
        <w:rPr>
          <w:rFonts w:ascii="Arial" w:hAnsi="Arial" w:cs="Arial" w:hint="eastAsia"/>
        </w:rPr>
        <w:t xml:space="preserve"> (= raccordables), </w:t>
      </w:r>
      <w:r w:rsidR="000D65C0" w:rsidRPr="00122682">
        <w:rPr>
          <w:rFonts w:ascii="Arial" w:hAnsi="Arial" w:cs="Arial"/>
          <w:u w:val="single"/>
        </w:rPr>
        <w:t>y compris les appareils de puissance inférieure à 1 MW</w:t>
      </w:r>
      <w:r w:rsidR="000D65C0" w:rsidRPr="000D65C0">
        <w:rPr>
          <w:rFonts w:ascii="Arial" w:hAnsi="Arial" w:cs="Arial"/>
        </w:rPr>
        <w:t xml:space="preserve">, </w:t>
      </w:r>
      <w:r w:rsidR="000D65C0">
        <w:rPr>
          <w:rFonts w:ascii="Arial" w:hAnsi="Arial" w:cs="Arial"/>
        </w:rPr>
        <w:t xml:space="preserve">à </w:t>
      </w:r>
      <w:r w:rsidR="000D65C0" w:rsidRPr="000D65C0">
        <w:rPr>
          <w:rFonts w:ascii="Arial" w:hAnsi="Arial" w:cs="Arial"/>
        </w:rPr>
        <w:t>l</w:t>
      </w:r>
      <w:r w:rsidR="000D65C0" w:rsidRPr="000D65C0">
        <w:rPr>
          <w:rFonts w:ascii="Arial" w:hAnsi="Arial" w:cs="Arial" w:hint="eastAsia"/>
        </w:rPr>
        <w:t>’</w:t>
      </w:r>
      <w:r w:rsidR="000D65C0" w:rsidRPr="000D65C0">
        <w:rPr>
          <w:rFonts w:ascii="Arial" w:hAnsi="Arial" w:cs="Arial"/>
        </w:rPr>
        <w:t>exception :</w:t>
      </w:r>
    </w:p>
    <w:p w:rsidR="000D65C0" w:rsidRPr="000D65C0" w:rsidRDefault="000D65C0" w:rsidP="000D65C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D65C0">
        <w:rPr>
          <w:rFonts w:ascii="Segoe UI Symbol" w:hAnsi="Segoe UI Symbol" w:cs="Segoe UI Symbol"/>
        </w:rPr>
        <w:t>➢</w:t>
      </w:r>
      <w:r w:rsidRPr="000D65C0">
        <w:rPr>
          <w:rFonts w:ascii="Arial" w:hAnsi="Arial" w:cs="Arial"/>
        </w:rPr>
        <w:t xml:space="preserve"> des torchères, des panneaux radiants, des br</w:t>
      </w:r>
      <w:r>
        <w:rPr>
          <w:rFonts w:ascii="Arial" w:hAnsi="Arial" w:cs="Arial"/>
        </w:rPr>
        <w:t>û</w:t>
      </w:r>
      <w:r w:rsidRPr="000D65C0">
        <w:rPr>
          <w:rFonts w:ascii="Arial" w:hAnsi="Arial" w:cs="Arial"/>
        </w:rPr>
        <w:t xml:space="preserve">leurs des </w:t>
      </w:r>
      <w:proofErr w:type="spellStart"/>
      <w:r w:rsidRPr="000D65C0">
        <w:rPr>
          <w:rFonts w:ascii="Arial" w:hAnsi="Arial" w:cs="Arial"/>
        </w:rPr>
        <w:t>oxydateurs</w:t>
      </w:r>
      <w:proofErr w:type="spellEnd"/>
      <w:r w:rsidRPr="000D65C0">
        <w:rPr>
          <w:rFonts w:ascii="Arial" w:hAnsi="Arial" w:cs="Arial"/>
        </w:rPr>
        <w:t xml:space="preserve"> thermiques,</w:t>
      </w:r>
    </w:p>
    <w:p w:rsidR="000D65C0" w:rsidRPr="000D65C0" w:rsidRDefault="000D65C0" w:rsidP="000D65C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D65C0">
        <w:rPr>
          <w:rFonts w:ascii="Segoe UI Symbol" w:hAnsi="Segoe UI Symbol" w:cs="Segoe UI Symbol"/>
        </w:rPr>
        <w:t>➢</w:t>
      </w:r>
      <w:r w:rsidRPr="000D65C0">
        <w:rPr>
          <w:rFonts w:ascii="Arial" w:hAnsi="Arial" w:cs="Arial"/>
        </w:rPr>
        <w:t xml:space="preserve"> des activités classées au titre d</w:t>
      </w:r>
      <w:r w:rsidRPr="000D65C0">
        <w:rPr>
          <w:rFonts w:ascii="Arial" w:hAnsi="Arial" w:cs="Arial" w:hint="eastAsia"/>
        </w:rPr>
        <w:t>’</w:t>
      </w:r>
      <w:r w:rsidRPr="000D65C0">
        <w:rPr>
          <w:rFonts w:ascii="Arial" w:hAnsi="Arial" w:cs="Arial"/>
        </w:rPr>
        <w:t>autres rubriques de la nomenclature pour lesquelles la</w:t>
      </w:r>
      <w:r>
        <w:rPr>
          <w:rFonts w:ascii="Arial" w:hAnsi="Arial" w:cs="Arial"/>
        </w:rPr>
        <w:t xml:space="preserve"> </w:t>
      </w:r>
      <w:r w:rsidRPr="000D65C0">
        <w:rPr>
          <w:rFonts w:ascii="Arial" w:hAnsi="Arial" w:cs="Arial"/>
        </w:rPr>
        <w:t>combustion participe à la fusion, la cuisson ou au traitement, en mélange avec les gaz de</w:t>
      </w:r>
      <w:r>
        <w:rPr>
          <w:rFonts w:ascii="Arial" w:hAnsi="Arial" w:cs="Arial"/>
        </w:rPr>
        <w:t xml:space="preserve"> </w:t>
      </w:r>
      <w:r w:rsidRPr="000D65C0">
        <w:rPr>
          <w:rFonts w:ascii="Arial" w:hAnsi="Arial" w:cs="Arial"/>
        </w:rPr>
        <w:t>combustion, des matières entrantes (fours verriers, fours de proc</w:t>
      </w:r>
      <w:r w:rsidR="00B93554">
        <w:rPr>
          <w:rFonts w:ascii="Arial" w:hAnsi="Arial" w:cs="Arial"/>
        </w:rPr>
        <w:t>édé</w:t>
      </w:r>
      <w:r w:rsidRPr="000D65C0">
        <w:rPr>
          <w:rFonts w:ascii="Arial" w:hAnsi="Arial" w:cs="Arial"/>
        </w:rPr>
        <w:t>s chimiques, fours des cimenteries, séchoirs,</w:t>
      </w:r>
      <w:r w:rsidR="00E30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</w:t>
      </w:r>
      <w:r w:rsidRPr="000D65C0">
        <w:rPr>
          <w:rFonts w:ascii="Arial" w:hAnsi="Arial" w:cs="Arial"/>
        </w:rPr>
        <w:t>),</w:t>
      </w:r>
    </w:p>
    <w:p w:rsidR="000D65C0" w:rsidRDefault="000D65C0" w:rsidP="000D65C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D65C0">
        <w:rPr>
          <w:rFonts w:ascii="Segoe UI Symbol" w:hAnsi="Segoe UI Symbol" w:cs="Segoe UI Symbol"/>
        </w:rPr>
        <w:t>➢</w:t>
      </w:r>
      <w:r w:rsidRPr="000D65C0">
        <w:rPr>
          <w:rFonts w:ascii="Arial" w:hAnsi="Arial" w:cs="Arial"/>
        </w:rPr>
        <w:t xml:space="preserve"> des activités visées par les rubriques 2770, 2771, 2971 ou 2931.</w:t>
      </w:r>
    </w:p>
    <w:p w:rsidR="000D65C0" w:rsidRPr="000D65C0" w:rsidRDefault="000D65C0" w:rsidP="000D65C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0D65C0" w:rsidRPr="000D65C0" w:rsidRDefault="000D65C0" w:rsidP="000D65C0">
      <w:pPr>
        <w:autoSpaceDE w:val="0"/>
        <w:autoSpaceDN w:val="0"/>
        <w:adjustRightInd w:val="0"/>
        <w:jc w:val="both"/>
        <w:rPr>
          <w:rFonts w:ascii="Arial" w:eastAsia="LiberationSans" w:hAnsi="Arial" w:cs="Arial"/>
          <w:i/>
          <w:iCs/>
        </w:rPr>
      </w:pPr>
      <w:r w:rsidRPr="000D65C0">
        <w:rPr>
          <w:rFonts w:ascii="Arial" w:eastAsia="LiberationSans" w:hAnsi="Arial" w:cs="Arial"/>
          <w:bCs/>
          <w:i/>
          <w:iCs/>
        </w:rPr>
        <w:t>Nota 1 :</w:t>
      </w:r>
      <w:r w:rsidRPr="000D65C0">
        <w:rPr>
          <w:rFonts w:ascii="Arial" w:eastAsia="LiberationSans" w:hAnsi="Arial" w:cs="Arial"/>
          <w:b/>
          <w:bCs/>
          <w:i/>
          <w:iCs/>
        </w:rPr>
        <w:t xml:space="preserve"> </w:t>
      </w:r>
      <w:r w:rsidRPr="000D65C0">
        <w:rPr>
          <w:rFonts w:ascii="Arial" w:eastAsia="LiberationSans" w:hAnsi="Arial" w:cs="Arial"/>
          <w:i/>
          <w:iCs/>
        </w:rPr>
        <w:t xml:space="preserve">Les puissances des aérothermes et des </w:t>
      </w:r>
      <w:proofErr w:type="spellStart"/>
      <w:r w:rsidRPr="000D65C0">
        <w:rPr>
          <w:rFonts w:ascii="Arial" w:eastAsia="LiberationSans" w:hAnsi="Arial" w:cs="Arial"/>
          <w:i/>
          <w:iCs/>
        </w:rPr>
        <w:t>moto-pompes</w:t>
      </w:r>
      <w:proofErr w:type="spellEnd"/>
      <w:r w:rsidRPr="000D65C0">
        <w:rPr>
          <w:rFonts w:ascii="Arial" w:eastAsia="LiberationSans" w:hAnsi="Arial" w:cs="Arial"/>
          <w:i/>
          <w:iCs/>
        </w:rPr>
        <w:t xml:space="preserve"> thermiques des installations de</w:t>
      </w:r>
      <w:r>
        <w:rPr>
          <w:rFonts w:ascii="Arial" w:eastAsia="LiberationSans" w:hAnsi="Arial" w:cs="Arial"/>
          <w:i/>
          <w:iCs/>
        </w:rPr>
        <w:t xml:space="preserve"> </w:t>
      </w:r>
      <w:proofErr w:type="spellStart"/>
      <w:r w:rsidRPr="000D65C0">
        <w:rPr>
          <w:rFonts w:ascii="Arial" w:eastAsia="LiberationSans" w:hAnsi="Arial" w:cs="Arial"/>
          <w:i/>
          <w:iCs/>
        </w:rPr>
        <w:t>sprinklage</w:t>
      </w:r>
      <w:proofErr w:type="spellEnd"/>
      <w:r w:rsidRPr="000D65C0">
        <w:rPr>
          <w:rFonts w:ascii="Arial" w:eastAsia="LiberationSans" w:hAnsi="Arial" w:cs="Arial"/>
          <w:i/>
          <w:iCs/>
        </w:rPr>
        <w:t xml:space="preserve"> sont comptabilisées pour le classement des installations en 2910.</w:t>
      </w:r>
    </w:p>
    <w:p w:rsidR="009C2424" w:rsidRPr="000D65C0" w:rsidRDefault="000D65C0" w:rsidP="000D65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D65C0">
        <w:rPr>
          <w:rFonts w:ascii="Arial" w:eastAsia="LiberationSans" w:hAnsi="Arial" w:cs="Arial"/>
          <w:bCs/>
          <w:i/>
          <w:iCs/>
        </w:rPr>
        <w:t>Nota 2 :</w:t>
      </w:r>
      <w:r w:rsidRPr="000D65C0">
        <w:rPr>
          <w:rFonts w:ascii="Arial" w:eastAsia="LiberationSans" w:hAnsi="Arial" w:cs="Arial"/>
          <w:b/>
          <w:bCs/>
          <w:i/>
          <w:iCs/>
        </w:rPr>
        <w:t xml:space="preserve"> </w:t>
      </w:r>
      <w:r w:rsidRPr="000D65C0">
        <w:rPr>
          <w:rFonts w:ascii="Arial" w:eastAsia="LiberationSans" w:hAnsi="Arial" w:cs="Arial"/>
          <w:i/>
          <w:iCs/>
        </w:rPr>
        <w:t xml:space="preserve">Les </w:t>
      </w:r>
      <w:proofErr w:type="spellStart"/>
      <w:r w:rsidRPr="000D65C0">
        <w:rPr>
          <w:rFonts w:ascii="Arial" w:eastAsia="LiberationSans" w:hAnsi="Arial" w:cs="Arial"/>
          <w:i/>
          <w:iCs/>
        </w:rPr>
        <w:t>moto-pompes</w:t>
      </w:r>
      <w:proofErr w:type="spellEnd"/>
      <w:r w:rsidRPr="000D65C0">
        <w:rPr>
          <w:rFonts w:ascii="Arial" w:eastAsia="LiberationSans" w:hAnsi="Arial" w:cs="Arial"/>
          <w:i/>
          <w:iCs/>
        </w:rPr>
        <w:t xml:space="preserve"> thermiques des installations de </w:t>
      </w:r>
      <w:proofErr w:type="spellStart"/>
      <w:r w:rsidRPr="000D65C0">
        <w:rPr>
          <w:rFonts w:ascii="Arial" w:eastAsia="LiberationSans" w:hAnsi="Arial" w:cs="Arial"/>
          <w:i/>
          <w:iCs/>
        </w:rPr>
        <w:t>sprinklage</w:t>
      </w:r>
      <w:proofErr w:type="spellEnd"/>
      <w:r w:rsidRPr="000D65C0">
        <w:rPr>
          <w:rFonts w:ascii="Arial" w:eastAsia="LiberationSans" w:hAnsi="Arial" w:cs="Arial"/>
          <w:i/>
          <w:iCs/>
        </w:rPr>
        <w:t xml:space="preserve"> ne sont pas considérées</w:t>
      </w:r>
      <w:r>
        <w:rPr>
          <w:rFonts w:ascii="Arial" w:eastAsia="LiberationSans" w:hAnsi="Arial" w:cs="Arial"/>
          <w:i/>
          <w:iCs/>
        </w:rPr>
        <w:t xml:space="preserve"> </w:t>
      </w:r>
      <w:r w:rsidRPr="000D65C0">
        <w:rPr>
          <w:rFonts w:ascii="Arial" w:eastAsia="LiberationSans" w:hAnsi="Arial" w:cs="Arial"/>
          <w:i/>
          <w:iCs/>
        </w:rPr>
        <w:t>comme raccordables à une cheminée commune et peuvent donc être considérées comme des</w:t>
      </w:r>
      <w:r>
        <w:rPr>
          <w:rFonts w:ascii="Arial" w:eastAsia="LiberationSans" w:hAnsi="Arial" w:cs="Arial"/>
          <w:i/>
          <w:iCs/>
        </w:rPr>
        <w:t xml:space="preserve"> </w:t>
      </w:r>
      <w:r w:rsidRPr="000D65C0">
        <w:rPr>
          <w:rFonts w:ascii="Arial" w:eastAsia="LiberationSans" w:hAnsi="Arial" w:cs="Arial"/>
          <w:i/>
          <w:iCs/>
        </w:rPr>
        <w:t>installations distinctes.</w:t>
      </w:r>
    </w:p>
    <w:p w:rsidR="000D65C0" w:rsidRDefault="000D65C0" w:rsidP="00F23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23363" w:rsidRPr="00F23363" w:rsidRDefault="00F23363" w:rsidP="00F23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3363">
        <w:rPr>
          <w:rFonts w:ascii="Arial" w:hAnsi="Arial" w:cs="Arial"/>
        </w:rPr>
        <w:t xml:space="preserve">Il s'agit </w:t>
      </w:r>
      <w:r w:rsidR="00F75E40">
        <w:rPr>
          <w:rFonts w:ascii="Arial" w:hAnsi="Arial" w:cs="Arial"/>
        </w:rPr>
        <w:t>ensuite</w:t>
      </w:r>
      <w:r w:rsidRPr="00F23363">
        <w:rPr>
          <w:rFonts w:ascii="Arial" w:hAnsi="Arial" w:cs="Arial"/>
        </w:rPr>
        <w:t xml:space="preserve"> de différencier le classement </w:t>
      </w:r>
      <w:r w:rsidRPr="00F23363">
        <w:rPr>
          <w:rFonts w:ascii="Arial" w:hAnsi="Arial" w:cs="Arial"/>
          <w:u w:val="single"/>
        </w:rPr>
        <w:t>de chaque installation de combustion</w:t>
      </w:r>
      <w:r w:rsidRPr="00F23363">
        <w:rPr>
          <w:rFonts w:ascii="Arial" w:hAnsi="Arial" w:cs="Arial"/>
        </w:rPr>
        <w:t xml:space="preserve"> au titre des</w:t>
      </w:r>
      <w:r>
        <w:rPr>
          <w:rFonts w:ascii="Arial" w:hAnsi="Arial" w:cs="Arial"/>
        </w:rPr>
        <w:t xml:space="preserve"> </w:t>
      </w:r>
      <w:r w:rsidRPr="00F23363">
        <w:rPr>
          <w:rFonts w:ascii="Arial" w:hAnsi="Arial" w:cs="Arial"/>
        </w:rPr>
        <w:t>rubriques 2910-A-1, 2910-A-2, 2910-B-1 ou 2910-B-2, selon les combustibles utilis</w:t>
      </w:r>
      <w:r>
        <w:rPr>
          <w:rFonts w:ascii="Arial" w:hAnsi="Arial" w:cs="Arial"/>
        </w:rPr>
        <w:t>é</w:t>
      </w:r>
      <w:r w:rsidRPr="00F23363">
        <w:rPr>
          <w:rFonts w:ascii="Arial" w:hAnsi="Arial" w:cs="Arial"/>
        </w:rPr>
        <w:t>s.</w:t>
      </w:r>
    </w:p>
    <w:p w:rsidR="00F23363" w:rsidRDefault="00F23363" w:rsidP="00F23363">
      <w:pPr>
        <w:jc w:val="both"/>
        <w:rPr>
          <w:rFonts w:ascii="Arial" w:hAnsi="Arial" w:cs="Arial"/>
        </w:rPr>
      </w:pPr>
    </w:p>
    <w:p w:rsidR="003515B2" w:rsidRPr="00F75E40" w:rsidRDefault="003515B2" w:rsidP="003515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fait, si une </w:t>
      </w:r>
      <w:r w:rsidRPr="003515B2">
        <w:rPr>
          <w:rFonts w:ascii="Arial" w:hAnsi="Arial" w:cs="Arial"/>
        </w:rPr>
        <w:t xml:space="preserve">installation de combustion </w:t>
      </w:r>
      <w:r>
        <w:rPr>
          <w:rFonts w:ascii="Arial" w:hAnsi="Arial" w:cs="Arial"/>
        </w:rPr>
        <w:t xml:space="preserve">(composée de plusieurs appareils de puissance </w:t>
      </w:r>
      <w:r w:rsidRPr="00F75E40">
        <w:rPr>
          <w:rFonts w:ascii="Arial" w:hAnsi="Arial" w:cs="Arial"/>
        </w:rPr>
        <w:t>unitaire inférieure à 1MW</w:t>
      </w:r>
      <w:r>
        <w:rPr>
          <w:rFonts w:ascii="Arial" w:hAnsi="Arial" w:cs="Arial"/>
        </w:rPr>
        <w:t xml:space="preserve">) </w:t>
      </w:r>
      <w:r w:rsidRPr="003515B2">
        <w:rPr>
          <w:rFonts w:ascii="Arial" w:hAnsi="Arial" w:cs="Arial"/>
        </w:rPr>
        <w:t>ne comprend pas d</w:t>
      </w:r>
      <w:r w:rsidRPr="003515B2">
        <w:rPr>
          <w:rFonts w:ascii="Arial" w:hAnsi="Arial" w:cs="Arial" w:hint="eastAsia"/>
        </w:rPr>
        <w:t>’</w:t>
      </w:r>
      <w:r w:rsidRPr="003515B2">
        <w:rPr>
          <w:rFonts w:ascii="Arial" w:hAnsi="Arial" w:cs="Arial"/>
        </w:rPr>
        <w:t>appareils class</w:t>
      </w:r>
      <w:r>
        <w:rPr>
          <w:rFonts w:ascii="Arial" w:hAnsi="Arial" w:cs="Arial"/>
        </w:rPr>
        <w:t>é</w:t>
      </w:r>
      <w:r w:rsidRPr="003515B2">
        <w:rPr>
          <w:rFonts w:ascii="Arial" w:hAnsi="Arial" w:cs="Arial"/>
        </w:rPr>
        <w:t>s au titre des points 1 et 2 de la</w:t>
      </w:r>
      <w:r>
        <w:rPr>
          <w:rFonts w:ascii="Arial" w:hAnsi="Arial" w:cs="Arial"/>
        </w:rPr>
        <w:t xml:space="preserve"> </w:t>
      </w:r>
      <w:r w:rsidRPr="003515B2">
        <w:rPr>
          <w:rFonts w:ascii="Arial" w:hAnsi="Arial" w:cs="Arial"/>
        </w:rPr>
        <w:t>rubrique 2910-B, et que tous les appareils consomment un combustible class</w:t>
      </w:r>
      <w:r>
        <w:rPr>
          <w:rFonts w:ascii="Arial" w:hAnsi="Arial" w:cs="Arial"/>
        </w:rPr>
        <w:t>é</w:t>
      </w:r>
      <w:r w:rsidRPr="003515B2">
        <w:rPr>
          <w:rFonts w:ascii="Arial" w:hAnsi="Arial" w:cs="Arial"/>
        </w:rPr>
        <w:t xml:space="preserve"> au titre de la rubrique</w:t>
      </w:r>
      <w:r>
        <w:rPr>
          <w:rFonts w:ascii="Arial" w:hAnsi="Arial" w:cs="Arial"/>
        </w:rPr>
        <w:t xml:space="preserve"> </w:t>
      </w:r>
      <w:r w:rsidRPr="003515B2">
        <w:rPr>
          <w:rFonts w:ascii="Arial" w:hAnsi="Arial" w:cs="Arial"/>
        </w:rPr>
        <w:t xml:space="preserve">2910-A, alors elle est classée sous le régime </w:t>
      </w:r>
      <w:r w:rsidRPr="003515B2">
        <w:rPr>
          <w:rFonts w:ascii="Arial" w:hAnsi="Arial" w:cs="Arial"/>
        </w:rPr>
        <w:lastRenderedPageBreak/>
        <w:t>de la</w:t>
      </w:r>
      <w:r>
        <w:rPr>
          <w:rFonts w:ascii="Arial" w:hAnsi="Arial" w:cs="Arial"/>
        </w:rPr>
        <w:t xml:space="preserve"> </w:t>
      </w:r>
      <w:r w:rsidRPr="003515B2">
        <w:rPr>
          <w:rFonts w:ascii="Arial" w:hAnsi="Arial" w:cs="Arial"/>
        </w:rPr>
        <w:t>déclaration au titre de la rubrique 2910-A-2 si sa puissance thermique</w:t>
      </w:r>
      <w:r>
        <w:rPr>
          <w:rFonts w:ascii="Arial" w:hAnsi="Arial" w:cs="Arial"/>
        </w:rPr>
        <w:t xml:space="preserve"> </w:t>
      </w:r>
      <w:r w:rsidRPr="003515B2">
        <w:rPr>
          <w:rFonts w:ascii="Arial" w:hAnsi="Arial" w:cs="Arial"/>
        </w:rPr>
        <w:t>nominale totale est supérieure ou égale à 1 MW mais inferieure a 20 MW.</w:t>
      </w:r>
    </w:p>
    <w:p w:rsidR="00F75E40" w:rsidRPr="00F75E40" w:rsidRDefault="00F75E40" w:rsidP="00F75E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75E40" w:rsidRPr="000D65C0" w:rsidRDefault="00F75E40" w:rsidP="00F23363">
      <w:pPr>
        <w:jc w:val="both"/>
        <w:rPr>
          <w:rFonts w:ascii="Arial" w:hAnsi="Arial" w:cs="Arial"/>
        </w:rPr>
      </w:pPr>
    </w:p>
    <w:p w:rsidR="000D65C0" w:rsidRPr="00122682" w:rsidRDefault="00122682" w:rsidP="000D65C0">
      <w:pPr>
        <w:jc w:val="both"/>
        <w:rPr>
          <w:rFonts w:ascii="Arial" w:hAnsi="Arial" w:cs="Arial"/>
          <w:u w:val="single"/>
        </w:rPr>
      </w:pPr>
      <w:r w:rsidRPr="00122682">
        <w:rPr>
          <w:rFonts w:ascii="Arial" w:hAnsi="Arial" w:cs="Arial"/>
          <w:u w:val="single"/>
        </w:rPr>
        <w:t>2/ Déterminer l’arrêté ministériel applicable à l’installation de combustion</w:t>
      </w:r>
      <w:r>
        <w:rPr>
          <w:rFonts w:ascii="Arial" w:hAnsi="Arial" w:cs="Arial"/>
          <w:u w:val="single"/>
        </w:rPr>
        <w:t xml:space="preserve"> classée sous la rubrique 2910</w:t>
      </w:r>
    </w:p>
    <w:p w:rsidR="000D65C0" w:rsidRPr="000D65C0" w:rsidRDefault="000D65C0" w:rsidP="000D65C0">
      <w:pPr>
        <w:jc w:val="both"/>
        <w:rPr>
          <w:rFonts w:ascii="Arial" w:hAnsi="Arial" w:cs="Arial"/>
        </w:rPr>
      </w:pPr>
    </w:p>
    <w:p w:rsidR="00F23363" w:rsidRDefault="00122682" w:rsidP="00F23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L’arrêté ministériel applicable dépend du classement au titre de la rubrique 2910</w:t>
      </w:r>
      <w:r w:rsidR="00F23363">
        <w:rPr>
          <w:rFonts w:ascii="Arial" w:hAnsi="Arial" w:cs="Arial"/>
        </w:rPr>
        <w:t xml:space="preserve"> (A-1, A-2, B-1 ou B-2)</w:t>
      </w:r>
      <w:r>
        <w:rPr>
          <w:rFonts w:ascii="Arial" w:hAnsi="Arial" w:cs="Arial"/>
        </w:rPr>
        <w:t>, de la puissance des installations et de la nature du combustible.</w:t>
      </w:r>
      <w:r w:rsidR="00F23363" w:rsidRPr="00F23363">
        <w:rPr>
          <w:rFonts w:ascii="Arial" w:hAnsi="Arial" w:cs="Arial"/>
        </w:rPr>
        <w:t xml:space="preserve"> </w:t>
      </w:r>
    </w:p>
    <w:p w:rsidR="00F23363" w:rsidRDefault="00F23363" w:rsidP="00F23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23363" w:rsidRDefault="00F23363" w:rsidP="00F233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3363">
        <w:rPr>
          <w:rFonts w:ascii="Arial" w:hAnsi="Arial" w:cs="Arial"/>
        </w:rPr>
        <w:t>Pour conna</w:t>
      </w:r>
      <w:r w:rsidR="006902B4">
        <w:rPr>
          <w:rFonts w:ascii="Arial" w:hAnsi="Arial" w:cs="Arial"/>
        </w:rPr>
        <w:t>î</w:t>
      </w:r>
      <w:r w:rsidRPr="00F23363">
        <w:rPr>
          <w:rFonts w:ascii="Arial" w:hAnsi="Arial" w:cs="Arial"/>
        </w:rPr>
        <w:t>tre l</w:t>
      </w:r>
      <w:r w:rsidRPr="00F23363">
        <w:rPr>
          <w:rFonts w:ascii="Arial" w:hAnsi="Arial" w:cs="Arial" w:hint="eastAsia"/>
        </w:rPr>
        <w:t>’</w:t>
      </w:r>
      <w:r w:rsidRPr="00F23363">
        <w:rPr>
          <w:rFonts w:ascii="Arial" w:hAnsi="Arial" w:cs="Arial"/>
        </w:rPr>
        <w:t>arrêt</w:t>
      </w:r>
      <w:r w:rsidR="0033103C">
        <w:rPr>
          <w:rFonts w:ascii="Arial" w:hAnsi="Arial" w:cs="Arial"/>
        </w:rPr>
        <w:t>é</w:t>
      </w:r>
      <w:r w:rsidRPr="00F23363">
        <w:rPr>
          <w:rFonts w:ascii="Arial" w:hAnsi="Arial" w:cs="Arial"/>
        </w:rPr>
        <w:t xml:space="preserve"> ministériel </w:t>
      </w:r>
      <w:r>
        <w:rPr>
          <w:rFonts w:ascii="Arial" w:hAnsi="Arial" w:cs="Arial"/>
        </w:rPr>
        <w:t>à</w:t>
      </w:r>
      <w:r w:rsidRPr="00F23363">
        <w:rPr>
          <w:rFonts w:ascii="Arial" w:hAnsi="Arial" w:cs="Arial"/>
        </w:rPr>
        <w:t xml:space="preserve"> appliquer à chaque installation de combustion, </w:t>
      </w:r>
      <w:r w:rsidR="00F75E40">
        <w:rPr>
          <w:rFonts w:ascii="Arial" w:hAnsi="Arial" w:cs="Arial"/>
        </w:rPr>
        <w:t>il convient</w:t>
      </w:r>
      <w:r>
        <w:rPr>
          <w:rFonts w:ascii="Arial" w:hAnsi="Arial" w:cs="Arial"/>
        </w:rPr>
        <w:t xml:space="preserve"> </w:t>
      </w:r>
      <w:r w:rsidRPr="00F23363">
        <w:rPr>
          <w:rFonts w:ascii="Arial" w:hAnsi="Arial" w:cs="Arial"/>
        </w:rPr>
        <w:t xml:space="preserve">désormais </w:t>
      </w:r>
      <w:r w:rsidR="00F75E40">
        <w:rPr>
          <w:rFonts w:ascii="Arial" w:hAnsi="Arial" w:cs="Arial"/>
        </w:rPr>
        <w:t xml:space="preserve">de calculer </w:t>
      </w:r>
      <w:r w:rsidRPr="00F23363">
        <w:rPr>
          <w:rFonts w:ascii="Arial" w:hAnsi="Arial" w:cs="Arial"/>
        </w:rPr>
        <w:t>la puissance de l'installation de combustion</w:t>
      </w:r>
      <w:r>
        <w:rPr>
          <w:rFonts w:ascii="Arial" w:hAnsi="Arial" w:cs="Arial"/>
        </w:rPr>
        <w:t xml:space="preserve"> </w:t>
      </w:r>
      <w:r w:rsidRPr="00F23363">
        <w:rPr>
          <w:rFonts w:ascii="Arial" w:hAnsi="Arial" w:cs="Arial"/>
        </w:rPr>
        <w:t>(qui est un ensemble d'appareils de</w:t>
      </w:r>
      <w:r>
        <w:rPr>
          <w:rFonts w:ascii="Arial" w:hAnsi="Arial" w:cs="Arial"/>
        </w:rPr>
        <w:t xml:space="preserve"> </w:t>
      </w:r>
      <w:r w:rsidRPr="00F23363">
        <w:rPr>
          <w:rFonts w:ascii="Arial" w:hAnsi="Arial" w:cs="Arial"/>
        </w:rPr>
        <w:t>combustion exploités sur un même site et techniquement raccordables entre eux à une même</w:t>
      </w:r>
      <w:r>
        <w:rPr>
          <w:rFonts w:ascii="Arial" w:hAnsi="Arial" w:cs="Arial"/>
        </w:rPr>
        <w:t xml:space="preserve"> </w:t>
      </w:r>
      <w:r w:rsidRPr="00F23363">
        <w:rPr>
          <w:rFonts w:ascii="Arial" w:hAnsi="Arial" w:cs="Arial"/>
        </w:rPr>
        <w:t>cheminée)</w:t>
      </w:r>
      <w:r>
        <w:rPr>
          <w:rFonts w:ascii="Arial" w:hAnsi="Arial" w:cs="Arial"/>
        </w:rPr>
        <w:t>.</w:t>
      </w:r>
      <w:r w:rsidR="006902B4">
        <w:rPr>
          <w:rFonts w:ascii="Arial" w:hAnsi="Arial" w:cs="Arial"/>
        </w:rPr>
        <w:t xml:space="preserve"> Cette puissance permet de définir les VLE applicables.</w:t>
      </w:r>
    </w:p>
    <w:p w:rsidR="006902B4" w:rsidRDefault="006902B4" w:rsidP="00F23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902B4" w:rsidRDefault="006902B4" w:rsidP="00F23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902B4" w:rsidRPr="00FC2929" w:rsidRDefault="006902B4" w:rsidP="00F23363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FC2929">
        <w:rPr>
          <w:rFonts w:ascii="Arial" w:hAnsi="Arial" w:cs="Arial"/>
          <w:u w:val="single"/>
        </w:rPr>
        <w:t>Cas particulier des appareils de puissance inférieure à 1 MW</w:t>
      </w:r>
    </w:p>
    <w:p w:rsidR="006902B4" w:rsidRDefault="006902B4" w:rsidP="00F233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902B4" w:rsidRDefault="00FC2929" w:rsidP="00FC29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C2929">
        <w:rPr>
          <w:rFonts w:ascii="Arial" w:hAnsi="Arial" w:cs="Arial"/>
        </w:rPr>
        <w:t>ans les</w:t>
      </w:r>
      <w:r>
        <w:rPr>
          <w:rFonts w:ascii="Arial" w:hAnsi="Arial" w:cs="Arial"/>
        </w:rPr>
        <w:t xml:space="preserve"> </w:t>
      </w:r>
      <w:r w:rsidRPr="00FC2929">
        <w:rPr>
          <w:rFonts w:ascii="Arial" w:hAnsi="Arial" w:cs="Arial"/>
        </w:rPr>
        <w:t>arrêtés ministériels du 03 aout 2018, certaines prescriptions s'appliquent aux installations de</w:t>
      </w:r>
      <w:r>
        <w:rPr>
          <w:rFonts w:ascii="Arial" w:hAnsi="Arial" w:cs="Arial"/>
        </w:rPr>
        <w:t xml:space="preserve"> </w:t>
      </w:r>
      <w:r w:rsidRPr="00FC2929">
        <w:rPr>
          <w:rFonts w:ascii="Arial" w:hAnsi="Arial" w:cs="Arial"/>
        </w:rPr>
        <w:t>combustion et d'autres s'appliquent aux appareils de combustion. Dans ces</w:t>
      </w:r>
      <w:r>
        <w:rPr>
          <w:rFonts w:ascii="Arial" w:hAnsi="Arial" w:cs="Arial"/>
        </w:rPr>
        <w:t xml:space="preserve"> </w:t>
      </w:r>
      <w:r w:rsidRPr="00FC2929">
        <w:rPr>
          <w:rFonts w:ascii="Arial" w:hAnsi="Arial" w:cs="Arial"/>
        </w:rPr>
        <w:t>conditions, les prescriptions concernant spécifiquement les appareils ne s'appliquent pas si leur</w:t>
      </w:r>
      <w:r>
        <w:rPr>
          <w:rFonts w:ascii="Arial" w:hAnsi="Arial" w:cs="Arial"/>
        </w:rPr>
        <w:t xml:space="preserve"> </w:t>
      </w:r>
      <w:r w:rsidRPr="00FC2929">
        <w:rPr>
          <w:rFonts w:ascii="Arial" w:hAnsi="Arial" w:cs="Arial"/>
        </w:rPr>
        <w:t xml:space="preserve">puissance unitaire est inférieure </w:t>
      </w:r>
      <w:r>
        <w:rPr>
          <w:rFonts w:ascii="Arial" w:hAnsi="Arial" w:cs="Arial"/>
        </w:rPr>
        <w:t>à</w:t>
      </w:r>
      <w:r w:rsidRPr="00FC2929">
        <w:rPr>
          <w:rFonts w:ascii="Arial" w:hAnsi="Arial" w:cs="Arial"/>
        </w:rPr>
        <w:t xml:space="preserve"> 1 MW, mais celles concernant les installations de combustion</w:t>
      </w:r>
      <w:r>
        <w:rPr>
          <w:rFonts w:ascii="Arial" w:hAnsi="Arial" w:cs="Arial"/>
        </w:rPr>
        <w:t xml:space="preserve"> </w:t>
      </w:r>
      <w:r w:rsidRPr="00FC2929">
        <w:rPr>
          <w:rFonts w:ascii="Arial" w:hAnsi="Arial" w:cs="Arial"/>
        </w:rPr>
        <w:t>s'appliquent.</w:t>
      </w:r>
    </w:p>
    <w:p w:rsidR="00980F81" w:rsidRDefault="00980F81" w:rsidP="000D65C0">
      <w:pPr>
        <w:jc w:val="both"/>
        <w:rPr>
          <w:rFonts w:ascii="Arial" w:hAnsi="Arial" w:cs="Arial"/>
        </w:rPr>
      </w:pPr>
    </w:p>
    <w:p w:rsidR="00F75E40" w:rsidRDefault="00F75E40" w:rsidP="000D65C0">
      <w:pPr>
        <w:jc w:val="both"/>
        <w:rPr>
          <w:rFonts w:ascii="Arial" w:hAnsi="Arial" w:cs="Arial"/>
        </w:rPr>
      </w:pPr>
    </w:p>
    <w:p w:rsidR="00F75E40" w:rsidRPr="003515B2" w:rsidRDefault="003515B2" w:rsidP="000D65C0">
      <w:pPr>
        <w:jc w:val="both"/>
        <w:rPr>
          <w:rFonts w:ascii="Arial" w:hAnsi="Arial" w:cs="Arial"/>
          <w:u w:val="single"/>
        </w:rPr>
      </w:pPr>
      <w:r w:rsidRPr="003515B2">
        <w:rPr>
          <w:rFonts w:ascii="Arial" w:hAnsi="Arial" w:cs="Arial"/>
          <w:u w:val="single"/>
        </w:rPr>
        <w:t>3</w:t>
      </w:r>
      <w:r w:rsidR="00F75E40" w:rsidRPr="003515B2">
        <w:rPr>
          <w:rFonts w:ascii="Arial" w:hAnsi="Arial" w:cs="Arial"/>
          <w:u w:val="single"/>
        </w:rPr>
        <w:t>/ Fiches techniques combustion</w:t>
      </w:r>
    </w:p>
    <w:p w:rsidR="003515B2" w:rsidRDefault="003515B2" w:rsidP="000D65C0">
      <w:pPr>
        <w:jc w:val="both"/>
        <w:rPr>
          <w:rFonts w:ascii="Arial" w:hAnsi="Arial" w:cs="Arial"/>
        </w:rPr>
      </w:pPr>
    </w:p>
    <w:p w:rsidR="003515B2" w:rsidRDefault="003515B2" w:rsidP="000D65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 fiches techniques combustion</w:t>
      </w:r>
      <w:r w:rsidR="006509E6">
        <w:rPr>
          <w:rFonts w:ascii="Arial" w:hAnsi="Arial" w:cs="Arial"/>
        </w:rPr>
        <w:t xml:space="preserve"> explicitant certaines dispositions des arrêtés ministériels du 3 août 2018</w:t>
      </w:r>
      <w:r>
        <w:rPr>
          <w:rFonts w:ascii="Arial" w:hAnsi="Arial" w:cs="Arial"/>
        </w:rPr>
        <w:t xml:space="preserve"> sont disponibles sur Aïda :</w:t>
      </w:r>
    </w:p>
    <w:p w:rsidR="003515B2" w:rsidRDefault="003515B2" w:rsidP="000D65C0">
      <w:pPr>
        <w:jc w:val="both"/>
        <w:rPr>
          <w:rFonts w:ascii="Arial" w:hAnsi="Arial" w:cs="Arial"/>
        </w:rPr>
      </w:pPr>
      <w:r w:rsidRPr="003515B2">
        <w:rPr>
          <w:rFonts w:ascii="Arial" w:hAnsi="Arial" w:cs="Arial"/>
        </w:rPr>
        <w:t>https://aida.ineris.fr/sites/default/files/inspection_icpe/documents/Fiches_techniques_combustion_2019-mode</w:t>
      </w:r>
      <w:r>
        <w:rPr>
          <w:rFonts w:ascii="Arial" w:hAnsi="Arial" w:cs="Arial"/>
        </w:rPr>
        <w:t xml:space="preserve"> </w:t>
      </w:r>
      <w:r w:rsidRPr="003515B2">
        <w:rPr>
          <w:rFonts w:ascii="Arial" w:hAnsi="Arial" w:cs="Arial"/>
        </w:rPr>
        <w:t>actif.pdf</w:t>
      </w:r>
    </w:p>
    <w:sectPr w:rsidR="003515B2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A621D"/>
    <w:multiLevelType w:val="hybridMultilevel"/>
    <w:tmpl w:val="F7EA6B8A"/>
    <w:lvl w:ilvl="0" w:tplc="A9B04860">
      <w:start w:val="3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Courier New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579E2"/>
    <w:multiLevelType w:val="hybridMultilevel"/>
    <w:tmpl w:val="AD74D77C"/>
    <w:lvl w:ilvl="0" w:tplc="CB6A42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E4"/>
    <w:rsid w:val="000D65C0"/>
    <w:rsid w:val="00122682"/>
    <w:rsid w:val="0033103C"/>
    <w:rsid w:val="003515B2"/>
    <w:rsid w:val="0037170D"/>
    <w:rsid w:val="004544FF"/>
    <w:rsid w:val="004E0E78"/>
    <w:rsid w:val="005A52C0"/>
    <w:rsid w:val="005F43E4"/>
    <w:rsid w:val="006509E6"/>
    <w:rsid w:val="006902B4"/>
    <w:rsid w:val="006E2BF9"/>
    <w:rsid w:val="00932D17"/>
    <w:rsid w:val="00980F81"/>
    <w:rsid w:val="009C2424"/>
    <w:rsid w:val="009C251C"/>
    <w:rsid w:val="00B93554"/>
    <w:rsid w:val="00E30F4B"/>
    <w:rsid w:val="00F118C0"/>
    <w:rsid w:val="00F23363"/>
    <w:rsid w:val="00F75E40"/>
    <w:rsid w:val="00FC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927A9D-CB1E-4D91-850F-7D654A0A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i/>
      <w:i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</w:rPr>
  </w:style>
  <w:style w:type="paragraph" w:styleId="Corpsdetexte3">
    <w:name w:val="Body Text 3"/>
    <w:basedOn w:val="Normal"/>
    <w:semiHidden/>
    <w:rPr>
      <w:rFonts w:ascii="Arial" w:hAnsi="Arial" w:cs="Arial"/>
      <w:i/>
      <w:iCs/>
    </w:rPr>
  </w:style>
  <w:style w:type="paragraph" w:styleId="Retraitcorpsdetexte">
    <w:name w:val="Body Text Indent"/>
    <w:basedOn w:val="Normal"/>
    <w:semiHidden/>
    <w:pPr>
      <w:ind w:left="110"/>
    </w:pPr>
    <w:rPr>
      <w:rFonts w:ascii="Arial" w:hAnsi="Arial" w:cs="Arial"/>
      <w:sz w:val="16"/>
    </w:rPr>
  </w:style>
  <w:style w:type="paragraph" w:styleId="Paragraphedeliste">
    <w:name w:val="List Paragraph"/>
    <w:basedOn w:val="Normal"/>
    <w:uiPriority w:val="34"/>
    <w:qFormat/>
    <w:rsid w:val="006902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51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5672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l'Environnement</Company>
  <LinksUpToDate>false</LinksUpToDate>
  <CharactersWithSpaces>6630</CharactersWithSpaces>
  <SharedDoc>false</SharedDoc>
  <HLinks>
    <vt:vector size="6" baseType="variant">
      <vt:variant>
        <vt:i4>6815815</vt:i4>
      </vt:variant>
      <vt:variant>
        <vt:i4>-1</vt:i4>
      </vt:variant>
      <vt:variant>
        <vt:i4>1029</vt:i4>
      </vt:variant>
      <vt:variant>
        <vt:i4>1</vt:i4>
      </vt:variant>
      <vt:variant>
        <vt:lpwstr>..\..\Téléchargements\MEDDE_complet_avec_jpeg_HD_cle12a2f1\web\Bloc-marque_MEDDE_mai_2012.png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PIEYRE Mathias</dc:creator>
  <cp:lastModifiedBy>MOUSSET Eric</cp:lastModifiedBy>
  <cp:revision>2</cp:revision>
  <dcterms:created xsi:type="dcterms:W3CDTF">2020-10-14T09:49:00Z</dcterms:created>
  <dcterms:modified xsi:type="dcterms:W3CDTF">2020-10-14T09:49:00Z</dcterms:modified>
</cp:coreProperties>
</file>