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D16" w:rsidRDefault="00AF6D16">
      <w:pPr>
        <w:jc w:val="center"/>
      </w:pPr>
    </w:p>
    <w:tbl>
      <w:tblPr>
        <w:tblW w:w="10980"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00"/>
        <w:gridCol w:w="1535"/>
        <w:gridCol w:w="5125"/>
        <w:gridCol w:w="2520"/>
      </w:tblGrid>
      <w:tr w:rsidR="00AF6D16">
        <w:trPr>
          <w:cantSplit/>
        </w:trPr>
        <w:tc>
          <w:tcPr>
            <w:tcW w:w="1800" w:type="dxa"/>
            <w:tcBorders>
              <w:bottom w:val="nil"/>
            </w:tcBorders>
          </w:tcPr>
          <w:p w:rsidR="00AF6D16" w:rsidRDefault="007761C8">
            <w:pPr>
              <w:rPr>
                <w:rFonts w:ascii="Arial" w:hAnsi="Arial" w:cs="Arial"/>
                <w:noProof/>
                <w:sz w:val="20"/>
              </w:rPr>
            </w:pPr>
            <w:r>
              <w:rPr>
                <w:rFonts w:ascii="Arial" w:hAnsi="Arial" w:cs="Arial"/>
                <w:noProof/>
                <w:sz w:val="20"/>
              </w:rPr>
              <w:drawing>
                <wp:anchor distT="0" distB="0" distL="114300" distR="114300" simplePos="0" relativeHeight="251657728" behindDoc="0" locked="0" layoutInCell="1" allowOverlap="1">
                  <wp:simplePos x="0" y="0"/>
                  <wp:positionH relativeFrom="column">
                    <wp:posOffset>155575</wp:posOffset>
                  </wp:positionH>
                  <wp:positionV relativeFrom="paragraph">
                    <wp:posOffset>8890</wp:posOffset>
                  </wp:positionV>
                  <wp:extent cx="741680" cy="975360"/>
                  <wp:effectExtent l="0" t="0" r="1270" b="0"/>
                  <wp:wrapNone/>
                  <wp:docPr id="5" name="Image 5" descr="..\..\Téléchargements\MEDDE_complet_avec_jpeg_HD_cle12a2f1\web\Bloc-marque_MEDDE_mai_2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éléchargements\MEDDE_complet_avec_jpeg_HD_cle12a2f1\web\Bloc-marque_MEDDE_mai_201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1680" cy="9753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180" w:type="dxa"/>
            <w:gridSpan w:val="3"/>
          </w:tcPr>
          <w:p w:rsidR="00AF6D16" w:rsidRDefault="005A63A9">
            <w:pPr>
              <w:jc w:val="center"/>
              <w:rPr>
                <w:rFonts w:ascii="Arial" w:hAnsi="Arial" w:cs="Arial"/>
              </w:rPr>
            </w:pPr>
            <w:r>
              <w:rPr>
                <w:rFonts w:ascii="Arial" w:hAnsi="Arial" w:cs="Arial"/>
              </w:rPr>
              <w:t xml:space="preserve">CONTROLE PERIODIQUE DE CERTAINES INSTALLATIONS </w:t>
            </w:r>
          </w:p>
          <w:p w:rsidR="00AF6D16" w:rsidRDefault="005A63A9">
            <w:pPr>
              <w:jc w:val="center"/>
              <w:rPr>
                <w:rFonts w:ascii="Arial" w:hAnsi="Arial" w:cs="Arial"/>
              </w:rPr>
            </w:pPr>
            <w:r>
              <w:rPr>
                <w:rFonts w:ascii="Arial" w:hAnsi="Arial" w:cs="Arial"/>
              </w:rPr>
              <w:t>CLASSEES SOUMISES A DECLARATION</w:t>
            </w:r>
          </w:p>
          <w:p w:rsidR="00AF6D16" w:rsidRDefault="00AF6D16">
            <w:pPr>
              <w:jc w:val="center"/>
              <w:rPr>
                <w:rFonts w:ascii="Arial" w:hAnsi="Arial" w:cs="Arial"/>
              </w:rPr>
            </w:pPr>
          </w:p>
          <w:p w:rsidR="00AF6D16" w:rsidRDefault="005A63A9">
            <w:pPr>
              <w:jc w:val="center"/>
              <w:rPr>
                <w:rFonts w:ascii="Arial" w:hAnsi="Arial" w:cs="Arial"/>
              </w:rPr>
            </w:pPr>
            <w:r>
              <w:rPr>
                <w:rFonts w:ascii="Arial" w:hAnsi="Arial" w:cs="Arial"/>
              </w:rPr>
              <w:t>Fiche Question/Réponse</w:t>
            </w:r>
          </w:p>
          <w:p w:rsidR="00AF6D16" w:rsidRDefault="00AF6D16">
            <w:pPr>
              <w:jc w:val="center"/>
              <w:rPr>
                <w:rFonts w:ascii="Arial" w:hAnsi="Arial" w:cs="Arial"/>
              </w:rPr>
            </w:pPr>
          </w:p>
        </w:tc>
      </w:tr>
      <w:tr w:rsidR="00AF6D16">
        <w:trPr>
          <w:cantSplit/>
        </w:trPr>
        <w:tc>
          <w:tcPr>
            <w:tcW w:w="1800" w:type="dxa"/>
            <w:vMerge w:val="restart"/>
            <w:tcBorders>
              <w:top w:val="nil"/>
            </w:tcBorders>
          </w:tcPr>
          <w:p w:rsidR="00AF6D16" w:rsidRDefault="00AF6D16">
            <w:pPr>
              <w:rPr>
                <w:rFonts w:ascii="Arial" w:hAnsi="Arial" w:cs="Arial"/>
              </w:rPr>
            </w:pPr>
          </w:p>
          <w:p w:rsidR="00AF6D16" w:rsidRDefault="005A63A9">
            <w:pPr>
              <w:rPr>
                <w:rFonts w:ascii="Arial" w:hAnsi="Arial" w:cs="Arial"/>
                <w:sz w:val="14"/>
              </w:rPr>
            </w:pPr>
            <w:r>
              <w:rPr>
                <w:rFonts w:ascii="Arial" w:hAnsi="Arial" w:cs="Arial"/>
                <w:sz w:val="14"/>
              </w:rPr>
              <w:t>Direction générale de la prévention des risques</w:t>
            </w:r>
          </w:p>
          <w:p w:rsidR="00AF6D16" w:rsidRDefault="00AF6D16">
            <w:pPr>
              <w:rPr>
                <w:rFonts w:ascii="Arial" w:hAnsi="Arial" w:cs="Arial"/>
                <w:sz w:val="14"/>
              </w:rPr>
            </w:pPr>
          </w:p>
          <w:p w:rsidR="00AF6D16" w:rsidRDefault="005A63A9">
            <w:pPr>
              <w:rPr>
                <w:rFonts w:ascii="Arial" w:hAnsi="Arial" w:cs="Arial"/>
              </w:rPr>
            </w:pPr>
            <w:r>
              <w:rPr>
                <w:rFonts w:ascii="Arial" w:hAnsi="Arial" w:cs="Arial"/>
                <w:sz w:val="14"/>
              </w:rPr>
              <w:t>Bureau de la nomenclature, des émissions industrielles et de la pollution des eaux</w:t>
            </w:r>
          </w:p>
        </w:tc>
        <w:tc>
          <w:tcPr>
            <w:tcW w:w="1535" w:type="dxa"/>
          </w:tcPr>
          <w:p w:rsidR="00AF6D16" w:rsidRDefault="005A63A9">
            <w:pPr>
              <w:jc w:val="center"/>
              <w:rPr>
                <w:rFonts w:ascii="Arial" w:hAnsi="Arial" w:cs="Arial"/>
              </w:rPr>
            </w:pPr>
            <w:r>
              <w:rPr>
                <w:rFonts w:ascii="Arial" w:hAnsi="Arial" w:cs="Arial"/>
              </w:rPr>
              <w:t>Référence</w:t>
            </w:r>
          </w:p>
        </w:tc>
        <w:tc>
          <w:tcPr>
            <w:tcW w:w="5125" w:type="dxa"/>
          </w:tcPr>
          <w:p w:rsidR="00AF6D16" w:rsidRDefault="005A63A9">
            <w:pPr>
              <w:jc w:val="center"/>
              <w:rPr>
                <w:rFonts w:ascii="Arial" w:hAnsi="Arial" w:cs="Arial"/>
              </w:rPr>
            </w:pPr>
            <w:r>
              <w:rPr>
                <w:rFonts w:ascii="Arial" w:hAnsi="Arial" w:cs="Arial"/>
              </w:rPr>
              <w:t>Thème</w:t>
            </w:r>
          </w:p>
        </w:tc>
        <w:tc>
          <w:tcPr>
            <w:tcW w:w="2520" w:type="dxa"/>
          </w:tcPr>
          <w:p w:rsidR="00AF6D16" w:rsidRDefault="005A63A9">
            <w:pPr>
              <w:jc w:val="center"/>
              <w:rPr>
                <w:rFonts w:ascii="Arial" w:hAnsi="Arial" w:cs="Arial"/>
              </w:rPr>
            </w:pPr>
            <w:r>
              <w:rPr>
                <w:rFonts w:ascii="Arial" w:hAnsi="Arial" w:cs="Arial"/>
              </w:rPr>
              <w:t>Statut</w:t>
            </w:r>
          </w:p>
        </w:tc>
      </w:tr>
      <w:tr w:rsidR="00AF6D16">
        <w:trPr>
          <w:cantSplit/>
          <w:trHeight w:val="591"/>
        </w:trPr>
        <w:tc>
          <w:tcPr>
            <w:tcW w:w="1800" w:type="dxa"/>
            <w:vMerge/>
          </w:tcPr>
          <w:p w:rsidR="00AF6D16" w:rsidRDefault="00AF6D16">
            <w:pPr>
              <w:rPr>
                <w:rFonts w:ascii="Arial" w:hAnsi="Arial" w:cs="Arial"/>
              </w:rPr>
            </w:pPr>
          </w:p>
        </w:tc>
        <w:tc>
          <w:tcPr>
            <w:tcW w:w="1535" w:type="dxa"/>
            <w:vAlign w:val="center"/>
          </w:tcPr>
          <w:p w:rsidR="00AF6D16" w:rsidRDefault="005A63A9" w:rsidP="005A63A9">
            <w:pPr>
              <w:jc w:val="center"/>
              <w:rPr>
                <w:rFonts w:ascii="Arial" w:hAnsi="Arial" w:cs="Arial"/>
                <w:i/>
                <w:iCs/>
                <w:sz w:val="16"/>
              </w:rPr>
            </w:pPr>
            <w:r>
              <w:rPr>
                <w:rFonts w:ascii="Arial" w:hAnsi="Arial" w:cs="Arial"/>
                <w:sz w:val="16"/>
              </w:rPr>
              <w:t>IR_</w:t>
            </w:r>
            <w:r>
              <w:rPr>
                <w:rFonts w:ascii="Arial" w:hAnsi="Arial" w:cs="Arial"/>
                <w:i/>
                <w:iCs/>
                <w:sz w:val="16"/>
              </w:rPr>
              <w:t>210315_2160_Protection foudre</w:t>
            </w:r>
          </w:p>
          <w:p w:rsidR="004A3AD5" w:rsidRDefault="004A3AD5" w:rsidP="005A63A9">
            <w:pPr>
              <w:jc w:val="center"/>
              <w:rPr>
                <w:rFonts w:ascii="Arial" w:hAnsi="Arial" w:cs="Arial"/>
                <w:sz w:val="16"/>
              </w:rPr>
            </w:pPr>
            <w:r>
              <w:rPr>
                <w:rFonts w:ascii="Arial" w:hAnsi="Arial" w:cs="Arial"/>
                <w:i/>
                <w:iCs/>
                <w:sz w:val="16"/>
              </w:rPr>
              <w:t>31/05/202</w:t>
            </w:r>
            <w:bookmarkStart w:id="0" w:name="_GoBack"/>
            <w:bookmarkEnd w:id="0"/>
            <w:r>
              <w:rPr>
                <w:rFonts w:ascii="Arial" w:hAnsi="Arial" w:cs="Arial"/>
                <w:i/>
                <w:iCs/>
                <w:sz w:val="16"/>
              </w:rPr>
              <w:t>1</w:t>
            </w:r>
          </w:p>
        </w:tc>
        <w:tc>
          <w:tcPr>
            <w:tcW w:w="5125" w:type="dxa"/>
            <w:vAlign w:val="center"/>
          </w:tcPr>
          <w:p w:rsidR="00AF6D16" w:rsidRDefault="00AF6D16">
            <w:pPr>
              <w:jc w:val="center"/>
              <w:rPr>
                <w:rFonts w:ascii="Arial" w:hAnsi="Arial" w:cs="Arial"/>
                <w:sz w:val="16"/>
              </w:rPr>
            </w:pPr>
          </w:p>
          <w:p w:rsidR="00AF6D16" w:rsidRDefault="005A63A9">
            <w:pPr>
              <w:jc w:val="center"/>
              <w:rPr>
                <w:rFonts w:ascii="Arial" w:hAnsi="Arial" w:cs="Arial"/>
                <w:i/>
                <w:iCs/>
                <w:sz w:val="16"/>
              </w:rPr>
            </w:pPr>
            <w:r>
              <w:rPr>
                <w:rFonts w:ascii="Arial" w:hAnsi="Arial" w:cs="Arial"/>
                <w:i/>
                <w:iCs/>
                <w:sz w:val="16"/>
              </w:rPr>
              <w:t>Précision sur le point de contrôle 2.8</w:t>
            </w:r>
          </w:p>
        </w:tc>
        <w:tc>
          <w:tcPr>
            <w:tcW w:w="2520" w:type="dxa"/>
            <w:vAlign w:val="center"/>
          </w:tcPr>
          <w:p w:rsidR="00AF6D16" w:rsidRDefault="005A63A9">
            <w:pPr>
              <w:pStyle w:val="Retraitcorpsdetexte"/>
              <w:ind w:left="0" w:right="-250"/>
              <w:rPr>
                <w:i/>
                <w:iCs/>
              </w:rPr>
            </w:pPr>
            <w:r>
              <w:rPr>
                <w:i/>
                <w:iCs/>
              </w:rPr>
              <w:t>Cadre réservé à l’Administration</w:t>
            </w:r>
          </w:p>
          <w:p w:rsidR="00AF6D16" w:rsidRDefault="00AF6D16">
            <w:pPr>
              <w:ind w:left="110"/>
              <w:rPr>
                <w:rFonts w:ascii="Arial" w:hAnsi="Arial" w:cs="Arial"/>
                <w:sz w:val="16"/>
              </w:rPr>
            </w:pPr>
          </w:p>
          <w:p w:rsidR="00AF6D16" w:rsidRDefault="005A63A9">
            <w:pPr>
              <w:ind w:left="290"/>
              <w:rPr>
                <w:rFonts w:ascii="Arial" w:hAnsi="Arial" w:cs="Arial"/>
                <w:sz w:val="16"/>
              </w:rPr>
            </w:pPr>
            <w:r>
              <w:rPr>
                <w:rFonts w:ascii="Arial" w:hAnsi="Arial" w:cs="Arial"/>
                <w:sz w:val="16"/>
              </w:rPr>
              <w:t>1. Rédaction =</w:t>
            </w:r>
            <w:r w:rsidR="00E63275">
              <w:rPr>
                <w:rFonts w:ascii="Arial" w:hAnsi="Arial" w:cs="Arial"/>
                <w:sz w:val="16"/>
              </w:rPr>
              <w:t xml:space="preserve"> BM</w:t>
            </w:r>
          </w:p>
          <w:p w:rsidR="00AF6D16" w:rsidRDefault="005A63A9">
            <w:pPr>
              <w:ind w:left="290"/>
              <w:rPr>
                <w:rFonts w:ascii="Arial" w:hAnsi="Arial" w:cs="Arial"/>
                <w:sz w:val="16"/>
              </w:rPr>
            </w:pPr>
            <w:r>
              <w:rPr>
                <w:rFonts w:ascii="Arial" w:hAnsi="Arial" w:cs="Arial"/>
                <w:sz w:val="16"/>
              </w:rPr>
              <w:t>2. Validation =</w:t>
            </w:r>
            <w:r w:rsidR="00E63275">
              <w:rPr>
                <w:rFonts w:ascii="Arial" w:hAnsi="Arial" w:cs="Arial"/>
                <w:sz w:val="16"/>
              </w:rPr>
              <w:t xml:space="preserve"> HH</w:t>
            </w:r>
          </w:p>
          <w:p w:rsidR="00AF6D16" w:rsidRDefault="005A63A9">
            <w:pPr>
              <w:ind w:left="290"/>
              <w:rPr>
                <w:rFonts w:ascii="Arial" w:hAnsi="Arial" w:cs="Arial"/>
                <w:sz w:val="16"/>
              </w:rPr>
            </w:pPr>
            <w:r>
              <w:rPr>
                <w:rFonts w:ascii="Arial" w:hAnsi="Arial" w:cs="Arial"/>
                <w:sz w:val="16"/>
              </w:rPr>
              <w:t>3. Approbation =</w:t>
            </w:r>
            <w:r w:rsidR="00E63275">
              <w:rPr>
                <w:rFonts w:ascii="Arial" w:hAnsi="Arial" w:cs="Arial"/>
                <w:sz w:val="16"/>
              </w:rPr>
              <w:t xml:space="preserve"> </w:t>
            </w:r>
            <w:proofErr w:type="spellStart"/>
            <w:r w:rsidR="00E63275">
              <w:rPr>
                <w:rFonts w:ascii="Arial" w:hAnsi="Arial" w:cs="Arial"/>
                <w:sz w:val="16"/>
              </w:rPr>
              <w:t>PhM</w:t>
            </w:r>
            <w:proofErr w:type="spellEnd"/>
            <w:r w:rsidR="00E63275">
              <w:rPr>
                <w:rFonts w:ascii="Arial" w:hAnsi="Arial" w:cs="Arial"/>
                <w:sz w:val="16"/>
              </w:rPr>
              <w:t xml:space="preserve"> 31/05/2021</w:t>
            </w:r>
          </w:p>
        </w:tc>
      </w:tr>
    </w:tbl>
    <w:p w:rsidR="00AF6D16" w:rsidRDefault="00AF6D16">
      <w:pPr>
        <w:rPr>
          <w:rFonts w:ascii="Arial" w:hAnsi="Arial" w:cs="Arial"/>
        </w:rPr>
      </w:pPr>
    </w:p>
    <w:p w:rsidR="00AF6D16" w:rsidRDefault="00AF6D16">
      <w:pPr>
        <w:rPr>
          <w:rFonts w:ascii="Arial" w:hAnsi="Arial" w:cs="Arial"/>
        </w:rPr>
      </w:pPr>
    </w:p>
    <w:tbl>
      <w:tblPr>
        <w:tblW w:w="10980"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40"/>
        <w:gridCol w:w="5040"/>
      </w:tblGrid>
      <w:tr w:rsidR="00AF6D16">
        <w:tc>
          <w:tcPr>
            <w:tcW w:w="5940" w:type="dxa"/>
          </w:tcPr>
          <w:p w:rsidR="00AF6D16" w:rsidRDefault="005A63A9">
            <w:pPr>
              <w:rPr>
                <w:rFonts w:ascii="Arial" w:hAnsi="Arial" w:cs="Arial"/>
              </w:rPr>
            </w:pPr>
            <w:r>
              <w:rPr>
                <w:rFonts w:ascii="Arial" w:hAnsi="Arial" w:cs="Arial"/>
              </w:rPr>
              <w:t xml:space="preserve">Rubrique(s) principale(s) concernée(s) :  </w:t>
            </w:r>
          </w:p>
        </w:tc>
        <w:tc>
          <w:tcPr>
            <w:tcW w:w="5040" w:type="dxa"/>
          </w:tcPr>
          <w:p w:rsidR="00AF6D16" w:rsidRDefault="005A63A9">
            <w:pPr>
              <w:rPr>
                <w:rFonts w:ascii="Arial" w:hAnsi="Arial" w:cs="Arial"/>
              </w:rPr>
            </w:pPr>
            <w:r>
              <w:rPr>
                <w:rFonts w:ascii="Arial" w:hAnsi="Arial" w:cs="Arial"/>
              </w:rPr>
              <w:t>2160</w:t>
            </w:r>
          </w:p>
        </w:tc>
      </w:tr>
      <w:tr w:rsidR="00AF6D16">
        <w:tc>
          <w:tcPr>
            <w:tcW w:w="5940" w:type="dxa"/>
          </w:tcPr>
          <w:p w:rsidR="00AF6D16" w:rsidRDefault="005A63A9">
            <w:pPr>
              <w:rPr>
                <w:rFonts w:ascii="Arial" w:hAnsi="Arial" w:cs="Arial"/>
              </w:rPr>
            </w:pPr>
            <w:r>
              <w:rPr>
                <w:rFonts w:ascii="Arial" w:hAnsi="Arial" w:cs="Arial"/>
              </w:rPr>
              <w:t>Rubrique(s) secondaire(s) susceptibles d’être concernée(s) :</w:t>
            </w:r>
          </w:p>
        </w:tc>
        <w:tc>
          <w:tcPr>
            <w:tcW w:w="5040" w:type="dxa"/>
          </w:tcPr>
          <w:p w:rsidR="00AF6D16" w:rsidRDefault="00AF6D16">
            <w:pPr>
              <w:rPr>
                <w:rFonts w:ascii="Arial" w:hAnsi="Arial" w:cs="Arial"/>
              </w:rPr>
            </w:pPr>
          </w:p>
        </w:tc>
      </w:tr>
      <w:tr w:rsidR="00AF6D16">
        <w:tc>
          <w:tcPr>
            <w:tcW w:w="5940" w:type="dxa"/>
            <w:tcBorders>
              <w:bottom w:val="single" w:sz="4" w:space="0" w:color="auto"/>
            </w:tcBorders>
          </w:tcPr>
          <w:p w:rsidR="00AF6D16" w:rsidRDefault="005A63A9">
            <w:pPr>
              <w:rPr>
                <w:rFonts w:ascii="Arial" w:hAnsi="Arial" w:cs="Arial"/>
              </w:rPr>
            </w:pPr>
            <w:r>
              <w:rPr>
                <w:rFonts w:ascii="Arial" w:hAnsi="Arial" w:cs="Arial"/>
              </w:rPr>
              <w:t xml:space="preserve">Mots-clés : </w:t>
            </w:r>
          </w:p>
        </w:tc>
        <w:tc>
          <w:tcPr>
            <w:tcW w:w="5040" w:type="dxa"/>
            <w:tcBorders>
              <w:bottom w:val="single" w:sz="4" w:space="0" w:color="auto"/>
            </w:tcBorders>
          </w:tcPr>
          <w:p w:rsidR="00AF6D16" w:rsidRDefault="005A63A9">
            <w:pPr>
              <w:rPr>
                <w:rFonts w:ascii="Arial" w:hAnsi="Arial" w:cs="Arial"/>
              </w:rPr>
            </w:pPr>
            <w:r>
              <w:rPr>
                <w:rFonts w:ascii="Arial" w:hAnsi="Arial" w:cs="Arial"/>
              </w:rPr>
              <w:t>Protection foudre</w:t>
            </w:r>
          </w:p>
        </w:tc>
      </w:tr>
      <w:tr w:rsidR="00AF6D16">
        <w:tc>
          <w:tcPr>
            <w:tcW w:w="5940" w:type="dxa"/>
            <w:tcBorders>
              <w:left w:val="nil"/>
              <w:right w:val="nil"/>
            </w:tcBorders>
          </w:tcPr>
          <w:p w:rsidR="00AF6D16" w:rsidRDefault="00AF6D16">
            <w:pPr>
              <w:rPr>
                <w:rFonts w:ascii="Arial" w:hAnsi="Arial" w:cs="Arial"/>
              </w:rPr>
            </w:pPr>
          </w:p>
        </w:tc>
        <w:tc>
          <w:tcPr>
            <w:tcW w:w="5040" w:type="dxa"/>
            <w:tcBorders>
              <w:left w:val="nil"/>
              <w:right w:val="nil"/>
            </w:tcBorders>
          </w:tcPr>
          <w:p w:rsidR="00AF6D16" w:rsidRDefault="00AF6D16">
            <w:pPr>
              <w:rPr>
                <w:rFonts w:ascii="Arial" w:hAnsi="Arial" w:cs="Arial"/>
              </w:rPr>
            </w:pPr>
          </w:p>
        </w:tc>
      </w:tr>
      <w:tr w:rsidR="00AF6D16">
        <w:tc>
          <w:tcPr>
            <w:tcW w:w="5940" w:type="dxa"/>
          </w:tcPr>
          <w:p w:rsidR="00AF6D16" w:rsidRDefault="005A63A9">
            <w:pPr>
              <w:rPr>
                <w:rFonts w:ascii="Arial" w:hAnsi="Arial" w:cs="Arial"/>
              </w:rPr>
            </w:pPr>
            <w:r>
              <w:rPr>
                <w:rFonts w:ascii="Arial" w:hAnsi="Arial" w:cs="Arial"/>
              </w:rPr>
              <w:t>Arrêté de prescriptions générales concerné (date)</w:t>
            </w:r>
          </w:p>
        </w:tc>
        <w:tc>
          <w:tcPr>
            <w:tcW w:w="5040" w:type="dxa"/>
          </w:tcPr>
          <w:p w:rsidR="00AF6D16" w:rsidRDefault="005A63A9">
            <w:pPr>
              <w:rPr>
                <w:rFonts w:ascii="Arial" w:hAnsi="Arial" w:cs="Arial"/>
              </w:rPr>
            </w:pPr>
            <w:r>
              <w:rPr>
                <w:rFonts w:ascii="Arial" w:hAnsi="Arial" w:cs="Arial"/>
              </w:rPr>
              <w:t>28/12/2007</w:t>
            </w:r>
          </w:p>
        </w:tc>
      </w:tr>
      <w:tr w:rsidR="00AF6D16">
        <w:tc>
          <w:tcPr>
            <w:tcW w:w="5940" w:type="dxa"/>
          </w:tcPr>
          <w:p w:rsidR="00AF6D16" w:rsidRDefault="005A63A9">
            <w:pPr>
              <w:rPr>
                <w:rFonts w:ascii="Arial" w:hAnsi="Arial" w:cs="Arial"/>
              </w:rPr>
            </w:pPr>
            <w:r>
              <w:rPr>
                <w:rFonts w:ascii="Arial" w:hAnsi="Arial" w:cs="Arial"/>
              </w:rPr>
              <w:t>Article concerné (référence)</w:t>
            </w:r>
          </w:p>
        </w:tc>
        <w:tc>
          <w:tcPr>
            <w:tcW w:w="5040" w:type="dxa"/>
          </w:tcPr>
          <w:p w:rsidR="00AF6D16" w:rsidRDefault="00AF6D16">
            <w:pPr>
              <w:rPr>
                <w:rFonts w:ascii="Arial" w:hAnsi="Arial" w:cs="Arial"/>
              </w:rPr>
            </w:pPr>
          </w:p>
        </w:tc>
      </w:tr>
    </w:tbl>
    <w:p w:rsidR="00AF6D16" w:rsidRDefault="00AF6D16">
      <w:pPr>
        <w:rPr>
          <w:rFonts w:ascii="Arial" w:hAnsi="Arial" w:cs="Arial"/>
        </w:rPr>
      </w:pPr>
    </w:p>
    <w:p w:rsidR="00AF6D16" w:rsidRDefault="00AF6D16">
      <w:pPr>
        <w:rPr>
          <w:rFonts w:ascii="Arial" w:hAnsi="Arial" w:cs="Arial"/>
        </w:rPr>
      </w:pPr>
    </w:p>
    <w:p w:rsidR="00AF6D16" w:rsidRDefault="005A63A9">
      <w:pPr>
        <w:pBdr>
          <w:bottom w:val="single" w:sz="4" w:space="1" w:color="auto"/>
        </w:pBdr>
        <w:rPr>
          <w:rFonts w:ascii="Arial" w:hAnsi="Arial" w:cs="Arial"/>
        </w:rPr>
      </w:pPr>
      <w:r>
        <w:rPr>
          <w:rFonts w:ascii="Arial" w:hAnsi="Arial" w:cs="Arial"/>
          <w:b/>
          <w:bCs/>
        </w:rPr>
        <w:t>Question</w:t>
      </w:r>
      <w:r>
        <w:rPr>
          <w:rFonts w:ascii="Arial" w:hAnsi="Arial" w:cs="Arial"/>
        </w:rPr>
        <w:t> :</w:t>
      </w:r>
    </w:p>
    <w:p w:rsidR="00AF6D16" w:rsidRDefault="00AF6D16" w:rsidP="000F69F9">
      <w:pPr>
        <w:jc w:val="both"/>
        <w:rPr>
          <w:rFonts w:ascii="Arial" w:hAnsi="Arial" w:cs="Arial"/>
        </w:rPr>
      </w:pPr>
    </w:p>
    <w:p w:rsidR="00AF6D16" w:rsidRDefault="005A63A9" w:rsidP="000F69F9">
      <w:pPr>
        <w:jc w:val="both"/>
        <w:rPr>
          <w:rFonts w:ascii="Arial" w:hAnsi="Arial" w:cs="Arial"/>
        </w:rPr>
      </w:pPr>
      <w:r>
        <w:rPr>
          <w:rFonts w:ascii="Arial" w:hAnsi="Arial" w:cs="Arial"/>
        </w:rPr>
        <w:t>Le point 2.8. Mise à la terre des équipements - est rédigé comme suit :</w:t>
      </w:r>
    </w:p>
    <w:p w:rsidR="005A63A9" w:rsidRPr="005A63A9" w:rsidRDefault="005A63A9" w:rsidP="000F69F9">
      <w:pPr>
        <w:jc w:val="both"/>
        <w:rPr>
          <w:rFonts w:ascii="Arial" w:hAnsi="Arial" w:cs="Arial"/>
          <w:i/>
        </w:rPr>
      </w:pPr>
      <w:r w:rsidRPr="005A63A9">
        <w:rPr>
          <w:rFonts w:ascii="Arial" w:hAnsi="Arial" w:cs="Arial"/>
          <w:i/>
        </w:rPr>
        <w:t>« Les silos sont efficacement protégés contre les risques liés à la foudre.</w:t>
      </w:r>
    </w:p>
    <w:p w:rsidR="005A63A9" w:rsidRPr="005A63A9" w:rsidRDefault="005A63A9" w:rsidP="000F69F9">
      <w:pPr>
        <w:jc w:val="both"/>
        <w:rPr>
          <w:rFonts w:ascii="Arial" w:hAnsi="Arial" w:cs="Arial"/>
          <w:i/>
        </w:rPr>
      </w:pPr>
    </w:p>
    <w:p w:rsidR="005A63A9" w:rsidRPr="005A63A9" w:rsidRDefault="005A63A9" w:rsidP="000F69F9">
      <w:pPr>
        <w:jc w:val="both"/>
        <w:rPr>
          <w:rFonts w:ascii="Arial" w:hAnsi="Arial" w:cs="Arial"/>
          <w:i/>
        </w:rPr>
      </w:pPr>
      <w:r w:rsidRPr="005A63A9">
        <w:rPr>
          <w:rFonts w:ascii="Arial" w:hAnsi="Arial" w:cs="Arial"/>
          <w:i/>
        </w:rPr>
        <w:t>Tous les équipements, appareils, masses métalliques et parties conductrices (armatures béton armé, parties métalliques...) sont mis à la terre, conformément aux règlements et normes applicables, compte tenu notamment de la nature explosive ou inflammable des produits, et reliés par des liaisons équipotentielles.</w:t>
      </w:r>
    </w:p>
    <w:p w:rsidR="005A63A9" w:rsidRPr="005A63A9" w:rsidRDefault="005A63A9" w:rsidP="000F69F9">
      <w:pPr>
        <w:jc w:val="both"/>
        <w:rPr>
          <w:rFonts w:ascii="Arial" w:hAnsi="Arial" w:cs="Arial"/>
          <w:i/>
        </w:rPr>
      </w:pPr>
    </w:p>
    <w:p w:rsidR="005A63A9" w:rsidRPr="005A63A9" w:rsidRDefault="005A63A9" w:rsidP="000F69F9">
      <w:pPr>
        <w:jc w:val="both"/>
        <w:rPr>
          <w:rFonts w:ascii="Arial" w:hAnsi="Arial" w:cs="Arial"/>
          <w:i/>
        </w:rPr>
      </w:pPr>
      <w:r w:rsidRPr="005A63A9">
        <w:rPr>
          <w:rFonts w:ascii="Arial" w:hAnsi="Arial" w:cs="Arial"/>
          <w:i/>
        </w:rPr>
        <w:t>Les prises de terre des équipements électriques, des masses métalliques et de l’installation extérieure de protection contre la foudre sont interconnectées et conformes aux réglementations en vigueur.</w:t>
      </w:r>
    </w:p>
    <w:p w:rsidR="005A63A9" w:rsidRPr="005A63A9" w:rsidRDefault="005A63A9" w:rsidP="000F69F9">
      <w:pPr>
        <w:jc w:val="both"/>
        <w:rPr>
          <w:rFonts w:ascii="Arial" w:hAnsi="Arial" w:cs="Arial"/>
          <w:i/>
        </w:rPr>
      </w:pPr>
    </w:p>
    <w:p w:rsidR="005A63A9" w:rsidRPr="005A63A9" w:rsidRDefault="005A63A9" w:rsidP="000F69F9">
      <w:pPr>
        <w:jc w:val="both"/>
        <w:rPr>
          <w:rFonts w:ascii="Arial" w:hAnsi="Arial" w:cs="Arial"/>
          <w:i/>
        </w:rPr>
      </w:pPr>
      <w:r w:rsidRPr="005A63A9">
        <w:rPr>
          <w:rFonts w:ascii="Arial" w:hAnsi="Arial" w:cs="Arial"/>
          <w:i/>
        </w:rPr>
        <w:t>Les vérifications périodiques de l’</w:t>
      </w:r>
      <w:proofErr w:type="spellStart"/>
      <w:r w:rsidRPr="005A63A9">
        <w:rPr>
          <w:rFonts w:ascii="Arial" w:hAnsi="Arial" w:cs="Arial"/>
          <w:i/>
        </w:rPr>
        <w:t>équipotentialité</w:t>
      </w:r>
      <w:proofErr w:type="spellEnd"/>
      <w:r w:rsidRPr="005A63A9">
        <w:rPr>
          <w:rFonts w:ascii="Arial" w:hAnsi="Arial" w:cs="Arial"/>
          <w:i/>
        </w:rPr>
        <w:t xml:space="preserve"> et du système de protection contre la foudre sont effectuées selon les normes en vigueur.</w:t>
      </w:r>
    </w:p>
    <w:p w:rsidR="005A63A9" w:rsidRPr="005A63A9" w:rsidRDefault="005A63A9" w:rsidP="000F69F9">
      <w:pPr>
        <w:jc w:val="both"/>
        <w:rPr>
          <w:rFonts w:ascii="Arial" w:hAnsi="Arial" w:cs="Arial"/>
          <w:i/>
        </w:rPr>
      </w:pPr>
    </w:p>
    <w:p w:rsidR="005A63A9" w:rsidRPr="005A63A9" w:rsidRDefault="005A63A9" w:rsidP="000F69F9">
      <w:pPr>
        <w:jc w:val="both"/>
        <w:rPr>
          <w:rFonts w:ascii="Arial" w:hAnsi="Arial" w:cs="Arial"/>
          <w:i/>
        </w:rPr>
      </w:pPr>
      <w:r w:rsidRPr="005A63A9">
        <w:rPr>
          <w:rFonts w:ascii="Arial" w:hAnsi="Arial" w:cs="Arial"/>
          <w:i/>
        </w:rPr>
        <w:t>Objet du contrôle :</w:t>
      </w:r>
    </w:p>
    <w:p w:rsidR="005A63A9" w:rsidRPr="005A63A9" w:rsidRDefault="005A63A9" w:rsidP="000F69F9">
      <w:pPr>
        <w:jc w:val="both"/>
        <w:rPr>
          <w:rFonts w:ascii="Arial" w:hAnsi="Arial" w:cs="Arial"/>
          <w:i/>
        </w:rPr>
      </w:pPr>
      <w:r w:rsidRPr="005A63A9">
        <w:rPr>
          <w:rFonts w:ascii="Arial" w:hAnsi="Arial" w:cs="Arial"/>
          <w:i/>
        </w:rPr>
        <w:t>- présentation des justificatifs des vérifications périodiques de l’</w:t>
      </w:r>
      <w:proofErr w:type="spellStart"/>
      <w:r w:rsidRPr="005A63A9">
        <w:rPr>
          <w:rFonts w:ascii="Arial" w:hAnsi="Arial" w:cs="Arial"/>
          <w:i/>
        </w:rPr>
        <w:t>équipotentialité</w:t>
      </w:r>
      <w:proofErr w:type="spellEnd"/>
      <w:r w:rsidRPr="005A63A9">
        <w:rPr>
          <w:rFonts w:ascii="Arial" w:hAnsi="Arial" w:cs="Arial"/>
          <w:i/>
        </w:rPr>
        <w:t xml:space="preserve"> et du système de protection contre la foudre (le non-respect de ce point relève d’une non-conformité majeure).</w:t>
      </w:r>
      <w:r>
        <w:rPr>
          <w:rFonts w:ascii="Arial" w:hAnsi="Arial" w:cs="Arial"/>
          <w:i/>
        </w:rPr>
        <w:t> »</w:t>
      </w:r>
    </w:p>
    <w:p w:rsidR="00AF6D16" w:rsidRDefault="00AF6D16" w:rsidP="000F69F9">
      <w:pPr>
        <w:jc w:val="both"/>
        <w:rPr>
          <w:rFonts w:ascii="Arial" w:hAnsi="Arial" w:cs="Arial"/>
        </w:rPr>
      </w:pPr>
    </w:p>
    <w:p w:rsidR="005A63A9" w:rsidRDefault="005A63A9" w:rsidP="000F69F9">
      <w:pPr>
        <w:pStyle w:val="Corpsdetexte3"/>
        <w:jc w:val="both"/>
        <w:rPr>
          <w:i w:val="0"/>
        </w:rPr>
      </w:pPr>
      <w:r>
        <w:rPr>
          <w:i w:val="0"/>
        </w:rPr>
        <w:t>Les sites classés à déclaration sont exempts de l’obligation de réaliser une Analyse du Risque Foudre et une Etude Technique Foudre.</w:t>
      </w:r>
    </w:p>
    <w:p w:rsidR="005A63A9" w:rsidRDefault="005A63A9" w:rsidP="000F69F9">
      <w:pPr>
        <w:pStyle w:val="Corpsdetexte3"/>
        <w:jc w:val="both"/>
        <w:rPr>
          <w:i w:val="0"/>
        </w:rPr>
      </w:pPr>
      <w:r>
        <w:rPr>
          <w:i w:val="0"/>
        </w:rPr>
        <w:t>Comment juger d’une protection efficace contre les risques liés à la foudre sans obligation pour l’exploitant de réaliser une ARF et une ETF ?</w:t>
      </w:r>
    </w:p>
    <w:p w:rsidR="00AF6D16" w:rsidRPr="005A63A9" w:rsidRDefault="005A63A9" w:rsidP="000F69F9">
      <w:pPr>
        <w:pStyle w:val="Corpsdetexte3"/>
        <w:jc w:val="both"/>
        <w:rPr>
          <w:i w:val="0"/>
        </w:rPr>
      </w:pPr>
      <w:r>
        <w:rPr>
          <w:i w:val="0"/>
        </w:rPr>
        <w:t xml:space="preserve">Quel document justificatif des vérifications périodiques du système de protection contre </w:t>
      </w:r>
      <w:proofErr w:type="gramStart"/>
      <w:r>
        <w:rPr>
          <w:i w:val="0"/>
        </w:rPr>
        <w:t>le foudre demandé</w:t>
      </w:r>
      <w:proofErr w:type="gramEnd"/>
      <w:r>
        <w:rPr>
          <w:i w:val="0"/>
        </w:rPr>
        <w:t xml:space="preserve"> à l’exploitant en l’absence d’obligation d’analyse en phase conception ?</w:t>
      </w:r>
    </w:p>
    <w:p w:rsidR="00AF6D16" w:rsidRDefault="00AF6D16" w:rsidP="000F69F9">
      <w:pPr>
        <w:pStyle w:val="Corpsdetexte3"/>
        <w:jc w:val="both"/>
      </w:pPr>
    </w:p>
    <w:p w:rsidR="00AF6D16" w:rsidRDefault="00AF6D16" w:rsidP="000F69F9">
      <w:pPr>
        <w:jc w:val="both"/>
        <w:rPr>
          <w:rFonts w:ascii="Arial" w:hAnsi="Arial" w:cs="Arial"/>
        </w:rPr>
      </w:pPr>
    </w:p>
    <w:p w:rsidR="00AF6D16" w:rsidRDefault="005A63A9" w:rsidP="000F69F9">
      <w:pPr>
        <w:pBdr>
          <w:bottom w:val="single" w:sz="4" w:space="1" w:color="auto"/>
        </w:pBdr>
        <w:jc w:val="both"/>
        <w:rPr>
          <w:rFonts w:ascii="Arial" w:hAnsi="Arial" w:cs="Arial"/>
        </w:rPr>
      </w:pPr>
      <w:r>
        <w:rPr>
          <w:rFonts w:ascii="Arial" w:hAnsi="Arial" w:cs="Arial"/>
          <w:b/>
          <w:bCs/>
        </w:rPr>
        <w:lastRenderedPageBreak/>
        <w:t>Réponse</w:t>
      </w:r>
      <w:r>
        <w:rPr>
          <w:rFonts w:ascii="Arial" w:hAnsi="Arial" w:cs="Arial"/>
        </w:rPr>
        <w:t> :</w:t>
      </w:r>
    </w:p>
    <w:p w:rsidR="000F69F9" w:rsidRDefault="000F69F9" w:rsidP="00AA30B8">
      <w:pPr>
        <w:jc w:val="both"/>
      </w:pPr>
      <w:r>
        <w:t>Le point 2.8 de l'arrêté du 28/12/07 relatif aux silos à déclaration (rubrique 2160) impose que les silos</w:t>
      </w:r>
      <w:r w:rsidRPr="000F69F9">
        <w:t xml:space="preserve"> disposent</w:t>
      </w:r>
      <w:r>
        <w:rPr>
          <w:u w:val="single"/>
        </w:rPr>
        <w:t xml:space="preserve"> d'un système de protection contre la foudre</w:t>
      </w:r>
      <w:r>
        <w:t xml:space="preserve"> « efficace ».</w:t>
      </w:r>
    </w:p>
    <w:p w:rsidR="000F69F9" w:rsidRDefault="000F69F9" w:rsidP="00AA30B8">
      <w:pPr>
        <w:jc w:val="both"/>
      </w:pPr>
      <w:r>
        <w:t xml:space="preserve">Cette disposition est distincte des dispositions relatives à la mise à la terre. </w:t>
      </w:r>
    </w:p>
    <w:p w:rsidR="000F69F9" w:rsidRDefault="000F69F9" w:rsidP="00AA30B8">
      <w:pPr>
        <w:jc w:val="both"/>
      </w:pPr>
    </w:p>
    <w:p w:rsidR="000F69F9" w:rsidRDefault="000F69F9" w:rsidP="00AA30B8">
      <w:pPr>
        <w:jc w:val="both"/>
      </w:pPr>
      <w:r>
        <w:t>Le point 2.8 ne définit toutefois pas les moyens à mettre en œuvre afin de remplir ces objectifs. En particulier, ces dispositions n’imposent pas l’obligation de réalisation d’une analyse de risque foudre ou étude technique au sens de l’arrêté du 4 octobre 2010.</w:t>
      </w:r>
    </w:p>
    <w:p w:rsidR="00AA30B8" w:rsidRDefault="00AA30B8" w:rsidP="00AA30B8">
      <w:pPr>
        <w:jc w:val="both"/>
      </w:pPr>
      <w:r>
        <w:t xml:space="preserve">Toutefois, le point 2.8 indique </w:t>
      </w:r>
      <w:r w:rsidR="00FC588D">
        <w:t>que l’installation</w:t>
      </w:r>
      <w:r>
        <w:t xml:space="preserve"> et la vérification périodique de l’installation </w:t>
      </w:r>
      <w:r w:rsidR="00FC588D">
        <w:t>sont</w:t>
      </w:r>
      <w:r>
        <w:t xml:space="preserve"> effectuée</w:t>
      </w:r>
      <w:r w:rsidR="00FC588D">
        <w:t>s</w:t>
      </w:r>
      <w:r>
        <w:t xml:space="preserve"> « selon les normes en vigueur ».</w:t>
      </w:r>
    </w:p>
    <w:p w:rsidR="000F69F9" w:rsidRDefault="000F69F9" w:rsidP="00AA30B8">
      <w:pPr>
        <w:jc w:val="both"/>
      </w:pPr>
      <w:r>
        <w:t>Par ailleurs, le point de contrôle relatif à cette disposition porte sur la réalisation de la vérification périodique du système de protection contre la foudre.</w:t>
      </w:r>
    </w:p>
    <w:p w:rsidR="000F69F9" w:rsidRDefault="000F69F9" w:rsidP="00AA30B8">
      <w:pPr>
        <w:jc w:val="both"/>
      </w:pPr>
    </w:p>
    <w:p w:rsidR="000F69F9" w:rsidRDefault="000F69F9" w:rsidP="00AA30B8">
      <w:pPr>
        <w:jc w:val="both"/>
      </w:pPr>
    </w:p>
    <w:p w:rsidR="00AA30B8" w:rsidRDefault="00866231" w:rsidP="00AA30B8">
      <w:pPr>
        <w:jc w:val="both"/>
      </w:pPr>
      <w:r>
        <w:t>Au regard de ces dispositions</w:t>
      </w:r>
      <w:r w:rsidR="000F69F9">
        <w:t xml:space="preserve">, </w:t>
      </w:r>
      <w:r>
        <w:t xml:space="preserve">lors de son contrôle, </w:t>
      </w:r>
      <w:r w:rsidR="000F69F9">
        <w:t xml:space="preserve">l’organisme </w:t>
      </w:r>
      <w:r>
        <w:t>devra demander la présentation d’un justificatif attestant de la vérification du système de protection contre la foudre</w:t>
      </w:r>
      <w:r w:rsidR="00AA30B8">
        <w:t>, conformément aux normes en vigueur</w:t>
      </w:r>
      <w:r>
        <w:t>. Il devra s’attacher à vérifier que ce justificatif concerne effectivement des opérations de contrôle portant sur l’entretien et la vérification du bon fonctionnement d’une installation de protection contre la foudre et que cette installation couvre bien les risques associés aux différents silos, le cas échéant, présents au sein de l’installation.</w:t>
      </w:r>
    </w:p>
    <w:p w:rsidR="00AA30B8" w:rsidRDefault="00AA30B8" w:rsidP="00AA30B8">
      <w:pPr>
        <w:jc w:val="both"/>
      </w:pPr>
      <w:r>
        <w:t>Les normes NF EN 62305 (en particulier les normes NF EN 62305-1 et 62305-2) sont des normes en vigueur qui traitent des installations de protection contre la foudre et des opérations de vérification. Ces normes font appel aux principes d’analyse des risques foudres et études techniques. Donc si ces documents ne sont pas explicitement imposés par l’arrêté ministériel, les normes en vigueur viennent préciser les attentes en la matière.</w:t>
      </w:r>
    </w:p>
    <w:p w:rsidR="00AA30B8" w:rsidRDefault="00AA30B8" w:rsidP="00AA30B8">
      <w:pPr>
        <w:jc w:val="both"/>
      </w:pPr>
    </w:p>
    <w:p w:rsidR="00866231" w:rsidRDefault="00AA30B8" w:rsidP="00AA30B8">
      <w:pPr>
        <w:jc w:val="both"/>
      </w:pPr>
      <w:r>
        <w:t xml:space="preserve">Sur ce point, il est par ailleurs à rappeler </w:t>
      </w:r>
      <w:r w:rsidR="00866231">
        <w:t xml:space="preserve">que </w:t>
      </w:r>
      <w:r w:rsidR="000F69F9">
        <w:t>le</w:t>
      </w:r>
      <w:r w:rsidR="00866231">
        <w:t xml:space="preserve"> seul</w:t>
      </w:r>
      <w:r w:rsidR="000F69F9">
        <w:t xml:space="preserve"> contrôle d</w:t>
      </w:r>
      <w:r w:rsidR="00FC588D">
        <w:t>e l'</w:t>
      </w:r>
      <w:proofErr w:type="spellStart"/>
      <w:r w:rsidR="00FC588D">
        <w:t>équipotentialité</w:t>
      </w:r>
      <w:proofErr w:type="spellEnd"/>
      <w:r w:rsidR="00FC588D">
        <w:t xml:space="preserve"> n'est pas</w:t>
      </w:r>
      <w:r w:rsidR="000F69F9">
        <w:t xml:space="preserve"> suffisant pour répondre à </w:t>
      </w:r>
      <w:r w:rsidR="00866231">
        <w:t>cette exigence, la vérification du système de protection contre la foudre étant une opération distincte de la vérification de la mise à terre des équipements.</w:t>
      </w:r>
    </w:p>
    <w:p w:rsidR="00AF6D16" w:rsidRDefault="00AF6D16" w:rsidP="00AA30B8">
      <w:pPr>
        <w:jc w:val="both"/>
        <w:rPr>
          <w:rFonts w:ascii="Arial" w:hAnsi="Arial" w:cs="Arial"/>
        </w:rPr>
      </w:pPr>
    </w:p>
    <w:sectPr w:rsidR="00AF6D16">
      <w:pgSz w:w="11906" w:h="16838"/>
      <w:pgMar w:top="360"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54B75"/>
    <w:multiLevelType w:val="hybridMultilevel"/>
    <w:tmpl w:val="45C282FA"/>
    <w:lvl w:ilvl="0" w:tplc="3768010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1DA621D"/>
    <w:multiLevelType w:val="hybridMultilevel"/>
    <w:tmpl w:val="F7EA6B8A"/>
    <w:lvl w:ilvl="0" w:tplc="A9B04860">
      <w:start w:val="3"/>
      <w:numFmt w:val="bullet"/>
      <w:lvlText w:val=""/>
      <w:lvlJc w:val="left"/>
      <w:pPr>
        <w:tabs>
          <w:tab w:val="num" w:pos="720"/>
        </w:tabs>
        <w:ind w:left="720" w:hanging="360"/>
      </w:pPr>
      <w:rPr>
        <w:rFonts w:ascii="Wingdings" w:eastAsia="Courier New" w:hAnsi="Wingdings" w:cs="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1C8"/>
    <w:rsid w:val="0006084D"/>
    <w:rsid w:val="000F69F9"/>
    <w:rsid w:val="004A3AD5"/>
    <w:rsid w:val="005A63A9"/>
    <w:rsid w:val="007761C8"/>
    <w:rsid w:val="00866231"/>
    <w:rsid w:val="00AA30B8"/>
    <w:rsid w:val="00AF6D16"/>
    <w:rsid w:val="00E63275"/>
    <w:rsid w:val="00FC58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68796"/>
  <w15:chartTrackingRefBased/>
  <w15:docId w15:val="{844BAD83-CDD7-4307-8AFC-6C59AEC4A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paragraph" w:styleId="Corpsdetexte">
    <w:name w:val="Body Text"/>
    <w:basedOn w:val="Normal"/>
    <w:semiHidden/>
    <w:pPr>
      <w:jc w:val="both"/>
    </w:pPr>
    <w:rPr>
      <w:rFonts w:ascii="Arial" w:hAnsi="Arial" w:cs="Arial"/>
      <w:i/>
      <w:iCs/>
      <w:sz w:val="20"/>
    </w:rPr>
  </w:style>
  <w:style w:type="paragraph" w:styleId="Corpsdetexte2">
    <w:name w:val="Body Text 2"/>
    <w:basedOn w:val="Normal"/>
    <w:semiHidden/>
    <w:pPr>
      <w:jc w:val="both"/>
    </w:pPr>
    <w:rPr>
      <w:rFonts w:ascii="Arial" w:hAnsi="Arial" w:cs="Arial"/>
    </w:rPr>
  </w:style>
  <w:style w:type="paragraph" w:styleId="Corpsdetexte3">
    <w:name w:val="Body Text 3"/>
    <w:basedOn w:val="Normal"/>
    <w:semiHidden/>
    <w:rPr>
      <w:rFonts w:ascii="Arial" w:hAnsi="Arial" w:cs="Arial"/>
      <w:i/>
      <w:iCs/>
    </w:rPr>
  </w:style>
  <w:style w:type="paragraph" w:styleId="Retraitcorpsdetexte">
    <w:name w:val="Body Text Indent"/>
    <w:basedOn w:val="Normal"/>
    <w:semiHidden/>
    <w:pPr>
      <w:ind w:left="110"/>
    </w:pPr>
    <w:rPr>
      <w:rFonts w:ascii="Arial" w:hAnsi="Arial" w:cs="Arial"/>
      <w:sz w:val="16"/>
    </w:rPr>
  </w:style>
  <w:style w:type="paragraph" w:styleId="Paragraphedeliste">
    <w:name w:val="List Paragraph"/>
    <w:basedOn w:val="Normal"/>
    <w:uiPriority w:val="34"/>
    <w:qFormat/>
    <w:rsid w:val="000F69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91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666</Words>
  <Characters>3666</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Ministère de l'Environnement</Company>
  <LinksUpToDate>false</LinksUpToDate>
  <CharactersWithSpaces>4324</CharactersWithSpaces>
  <SharedDoc>false</SharedDoc>
  <HLinks>
    <vt:vector size="6" baseType="variant">
      <vt:variant>
        <vt:i4>6815815</vt:i4>
      </vt:variant>
      <vt:variant>
        <vt:i4>-1</vt:i4>
      </vt:variant>
      <vt:variant>
        <vt:i4>1029</vt:i4>
      </vt:variant>
      <vt:variant>
        <vt:i4>1</vt:i4>
      </vt:variant>
      <vt:variant>
        <vt:lpwstr>..\..\Téléchargements\MEDDE_complet_avec_jpeg_HD_cle12a2f1\web\Bloc-marque_MEDDE_mai_2012.png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PIEYRE Mathias</dc:creator>
  <cp:keywords/>
  <dc:description/>
  <cp:lastModifiedBy>MOUSSET Eric</cp:lastModifiedBy>
  <cp:revision>2</cp:revision>
  <cp:lastPrinted>2021-05-31T08:05:00Z</cp:lastPrinted>
  <dcterms:created xsi:type="dcterms:W3CDTF">2021-06-02T15:40:00Z</dcterms:created>
  <dcterms:modified xsi:type="dcterms:W3CDTF">2021-06-02T15:40:00Z</dcterms:modified>
</cp:coreProperties>
</file>