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AB" w:rsidRPr="000D373C" w:rsidRDefault="000D373C" w:rsidP="000D373C">
      <w:pPr>
        <w:jc w:val="center"/>
        <w:rPr>
          <w:b/>
        </w:rPr>
      </w:pPr>
      <w:bookmarkStart w:id="0" w:name="_GoBack"/>
      <w:bookmarkEnd w:id="0"/>
      <w:r w:rsidRPr="000D373C">
        <w:rPr>
          <w:b/>
        </w:rPr>
        <w:t>Question posées par les organismes agrées dans le cadre des contrôles périodiques / AMPG DC</w:t>
      </w:r>
    </w:p>
    <w:p w:rsidR="000D373C" w:rsidRDefault="000D373C"/>
    <w:p w:rsidR="000D373C" w:rsidRPr="000D373C" w:rsidRDefault="000D373C"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b/>
          <w:bCs/>
          <w:u w:val="single"/>
        </w:rPr>
        <w:t>Rubrique 1435 :</w:t>
      </w:r>
    </w:p>
    <w:p w:rsidR="000D373C" w:rsidRPr="000D373C" w:rsidRDefault="000D373C" w:rsidP="000D37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b/>
          <w:bCs/>
        </w:rPr>
        <w:t>Point 4.10.2 Réservoirs et Tuyauteries. (Cas des stockages enterrés)</w:t>
      </w:r>
    </w:p>
    <w:p w:rsidR="000D373C" w:rsidRDefault="000D373C" w:rsidP="000D373C">
      <w:pPr>
        <w:spacing w:before="100" w:beforeAutospacing="1" w:after="100" w:afterAutospacing="1" w:line="240" w:lineRule="auto"/>
        <w:rPr>
          <w:rFonts w:ascii="Calibri" w:eastAsia="Times New Roman" w:hAnsi="Calibri" w:cs="Calibri"/>
        </w:rPr>
      </w:pPr>
      <w:r w:rsidRPr="000D373C">
        <w:rPr>
          <w:rFonts w:ascii="Calibri" w:eastAsia="Times New Roman" w:hAnsi="Calibri" w:cs="Calibri"/>
        </w:rPr>
        <w:t>Lorsqu’une installation est déclarée initialement avant le 18/07/1998, les points concernant le détecteur de fuite sont sans objet. Si en 2020, la tuyauterie existante est remplacée par une tuyauterie en double enveloppe sans détecteur de fuite et sans modification de l’implantation, alors l’exploitant n’a plus à faire contrôler l’étanchéité tous les 10 ans ; et seul le suivi hebdomadaire des points bas est à réaliser. Est-ce bien correct ?</w:t>
      </w:r>
    </w:p>
    <w:p w:rsidR="00117029" w:rsidRPr="00117029" w:rsidRDefault="00117029" w:rsidP="000D373C">
      <w:pPr>
        <w:spacing w:before="100" w:beforeAutospacing="1" w:after="100" w:afterAutospacing="1" w:line="240" w:lineRule="auto"/>
        <w:rPr>
          <w:rFonts w:ascii="Times New Roman" w:eastAsia="Times New Roman" w:hAnsi="Times New Roman" w:cs="Times New Roman"/>
          <w:color w:val="0070C0"/>
          <w:sz w:val="24"/>
          <w:szCs w:val="24"/>
          <w:lang w:eastAsia="fr-FR"/>
        </w:rPr>
      </w:pPr>
      <w:r w:rsidRPr="00117029">
        <w:rPr>
          <w:rFonts w:ascii="Calibri" w:eastAsia="Times New Roman" w:hAnsi="Calibri" w:cs="Calibri"/>
          <w:color w:val="0070C0"/>
        </w:rPr>
        <w:t>Réponse BRIEC : L’interprétation est correcte.</w:t>
      </w:r>
    </w:p>
    <w:p w:rsidR="000D373C" w:rsidRPr="000D373C" w:rsidRDefault="000D373C" w:rsidP="000D3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b/>
          <w:bCs/>
        </w:rPr>
        <w:t>Point 4.2 Moyens de secours contre l’incendie</w:t>
      </w:r>
    </w:p>
    <w:p w:rsidR="000D373C" w:rsidRPr="000D373C" w:rsidRDefault="000D373C"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i/>
          <w:iCs/>
        </w:rPr>
        <w:t>Présence des moyens de lutte contre l’incendie</w:t>
      </w:r>
    </w:p>
    <w:p w:rsidR="000D373C" w:rsidRPr="000D373C" w:rsidRDefault="000D373C"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rPr>
        <w:t xml:space="preserve">Pour une installation initialement déclarée avant le 15/04/2010, modifiée en 2020 avec l’ajout d’un îlot de distribution, est ce que la présence des 2 poteaux incendie est exigée ? </w:t>
      </w:r>
    </w:p>
    <w:p w:rsidR="000D373C" w:rsidRDefault="000D373C" w:rsidP="000D373C">
      <w:pPr>
        <w:spacing w:before="100" w:beforeAutospacing="1" w:after="100" w:afterAutospacing="1" w:line="240" w:lineRule="auto"/>
        <w:rPr>
          <w:rFonts w:ascii="Calibri" w:eastAsia="Times New Roman" w:hAnsi="Calibri" w:cs="Calibri"/>
        </w:rPr>
      </w:pPr>
      <w:r w:rsidRPr="000D373C">
        <w:rPr>
          <w:rFonts w:ascii="Calibri" w:eastAsia="Times New Roman" w:hAnsi="Calibri" w:cs="Calibri"/>
        </w:rPr>
        <w:t>Même question si la modification n’impacte pas l’implantation de l’installation.</w:t>
      </w:r>
    </w:p>
    <w:p w:rsidR="00117029" w:rsidRPr="00117029" w:rsidRDefault="00117029" w:rsidP="000D373C">
      <w:pPr>
        <w:spacing w:before="100" w:beforeAutospacing="1" w:after="100" w:afterAutospacing="1" w:line="240" w:lineRule="auto"/>
        <w:rPr>
          <w:rFonts w:ascii="Calibri" w:eastAsia="Times New Roman" w:hAnsi="Calibri" w:cs="Calibri"/>
          <w:color w:val="0070C0"/>
        </w:rPr>
      </w:pPr>
      <w:r>
        <w:rPr>
          <w:rFonts w:ascii="Calibri" w:eastAsia="Times New Roman" w:hAnsi="Calibri" w:cs="Calibri"/>
          <w:color w:val="0070C0"/>
        </w:rPr>
        <w:t xml:space="preserve">Réponse BRIEC : </w:t>
      </w:r>
      <w:r w:rsidRPr="00117029">
        <w:rPr>
          <w:rFonts w:ascii="Calibri" w:eastAsia="Times New Roman" w:hAnsi="Calibri" w:cs="Calibri"/>
          <w:color w:val="0070C0"/>
        </w:rPr>
        <w:t>Ces dispositions sont applicables uniquement aux installations déclarées après le 17 avril 2010. En cas de modification, elles ne seront applicables uniquement si la modification nécessite une nouvelle déclaration.</w:t>
      </w:r>
    </w:p>
    <w:p w:rsidR="000D373C" w:rsidRPr="000D373C" w:rsidRDefault="000D373C" w:rsidP="000D373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b/>
          <w:bCs/>
        </w:rPr>
        <w:t>Point 4.10.2 Détecteur de fuite</w:t>
      </w:r>
    </w:p>
    <w:p w:rsidR="000D373C" w:rsidRPr="000D373C" w:rsidRDefault="000D373C"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i/>
          <w:iCs/>
        </w:rPr>
        <w:t>Positionnement des alarmes visuelles et sonores pour être vu ou entendues du personnel.</w:t>
      </w:r>
    </w:p>
    <w:p w:rsidR="000D373C" w:rsidRDefault="000D373C" w:rsidP="000D373C">
      <w:pPr>
        <w:spacing w:before="100" w:beforeAutospacing="1" w:after="100" w:afterAutospacing="1" w:line="240" w:lineRule="auto"/>
        <w:rPr>
          <w:rFonts w:ascii="Calibri" w:eastAsia="Times New Roman" w:hAnsi="Calibri" w:cs="Calibri"/>
        </w:rPr>
      </w:pPr>
      <w:r w:rsidRPr="000D373C">
        <w:rPr>
          <w:rFonts w:ascii="Calibri" w:eastAsia="Times New Roman" w:hAnsi="Calibri" w:cs="Calibri"/>
        </w:rPr>
        <w:t>Pour les installations en libre-service sans surveillance, est ce que la retransmission des alarmes est exigée lorsque le détecteur de fuite se trouve dans un local technique accessible mais très peu fréquenté par le personnel?</w:t>
      </w:r>
    </w:p>
    <w:p w:rsidR="00117029" w:rsidRDefault="00117029" w:rsidP="000D373C">
      <w:pPr>
        <w:spacing w:before="100" w:beforeAutospacing="1" w:after="100" w:afterAutospacing="1" w:line="240" w:lineRule="auto"/>
        <w:rPr>
          <w:rFonts w:ascii="Calibri" w:eastAsia="Times New Roman" w:hAnsi="Calibri" w:cs="Calibri"/>
          <w:color w:val="0070C0"/>
        </w:rPr>
      </w:pPr>
      <w:r>
        <w:rPr>
          <w:rFonts w:ascii="Calibri" w:eastAsia="Times New Roman" w:hAnsi="Calibri" w:cs="Calibri"/>
          <w:color w:val="0070C0"/>
        </w:rPr>
        <w:t xml:space="preserve">Réponse BRIEC </w:t>
      </w:r>
      <w:r w:rsidRPr="00117029">
        <w:rPr>
          <w:rFonts w:ascii="Calibri" w:eastAsia="Times New Roman" w:hAnsi="Calibri" w:cs="Calibri"/>
          <w:color w:val="0070C0"/>
        </w:rPr>
        <w:t xml:space="preserve">Fiche Q/R </w:t>
      </w:r>
      <w:r>
        <w:rPr>
          <w:rFonts w:ascii="Calibri" w:eastAsia="Times New Roman" w:hAnsi="Calibri" w:cs="Calibri"/>
          <w:color w:val="0070C0"/>
        </w:rPr>
        <w:t>sur le sujet d</w:t>
      </w:r>
      <w:r w:rsidR="005A13F0">
        <w:rPr>
          <w:rFonts w:ascii="Calibri" w:eastAsia="Times New Roman" w:hAnsi="Calibri" w:cs="Calibri"/>
          <w:color w:val="0070C0"/>
        </w:rPr>
        <w:t>u report de</w:t>
      </w:r>
      <w:r>
        <w:rPr>
          <w:rFonts w:ascii="Calibri" w:eastAsia="Times New Roman" w:hAnsi="Calibri" w:cs="Calibri"/>
          <w:color w:val="0070C0"/>
        </w:rPr>
        <w:t>s alarmes</w:t>
      </w:r>
      <w:r w:rsidR="005A13F0">
        <w:rPr>
          <w:rFonts w:ascii="Calibri" w:eastAsia="Times New Roman" w:hAnsi="Calibri" w:cs="Calibri"/>
          <w:color w:val="0070C0"/>
        </w:rPr>
        <w:t xml:space="preserve"> (fiche </w:t>
      </w:r>
      <w:r w:rsidR="005A13F0" w:rsidRPr="005A13F0">
        <w:rPr>
          <w:rFonts w:ascii="Calibri" w:eastAsia="Times New Roman" w:hAnsi="Calibri" w:cs="Calibri"/>
          <w:color w:val="0070C0"/>
        </w:rPr>
        <w:t>IR_100415_1435_ReportAlarme</w:t>
      </w:r>
      <w:r w:rsidR="005A13F0">
        <w:rPr>
          <w:rFonts w:ascii="Calibri" w:eastAsia="Times New Roman" w:hAnsi="Calibri" w:cs="Calibri"/>
          <w:color w:val="0070C0"/>
        </w:rPr>
        <w:t>)</w:t>
      </w:r>
    </w:p>
    <w:p w:rsidR="00117029" w:rsidRPr="00117029" w:rsidRDefault="00117029" w:rsidP="000D373C">
      <w:pPr>
        <w:spacing w:before="100" w:beforeAutospacing="1" w:after="100" w:afterAutospacing="1" w:line="240" w:lineRule="auto"/>
        <w:rPr>
          <w:rFonts w:ascii="Times New Roman" w:eastAsia="Times New Roman" w:hAnsi="Times New Roman" w:cs="Times New Roman"/>
          <w:color w:val="0070C0"/>
          <w:sz w:val="24"/>
          <w:szCs w:val="24"/>
          <w:lang w:eastAsia="fr-FR"/>
        </w:rPr>
      </w:pPr>
    </w:p>
    <w:p w:rsidR="000D373C" w:rsidRPr="000D373C" w:rsidRDefault="000D373C" w:rsidP="000D373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b/>
          <w:bCs/>
        </w:rPr>
        <w:t>Point 6.1.2.1 Maintenance du système de récupération</w:t>
      </w:r>
    </w:p>
    <w:p w:rsidR="000D373C" w:rsidRPr="000D373C" w:rsidRDefault="000D373C"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i/>
          <w:iCs/>
        </w:rPr>
        <w:t>Présentation du dernier certificat de contrôle de l’installation</w:t>
      </w:r>
    </w:p>
    <w:p w:rsidR="000D373C" w:rsidRPr="000D373C" w:rsidRDefault="000D373C"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rPr>
        <w:t xml:space="preserve">Le certificat de contrôle RV2 montre </w:t>
      </w:r>
      <w:proofErr w:type="gramStart"/>
      <w:r w:rsidRPr="000D373C">
        <w:rPr>
          <w:rFonts w:ascii="Calibri" w:eastAsia="Times New Roman" w:hAnsi="Calibri" w:cs="Calibri"/>
        </w:rPr>
        <w:t>des résultats non conforme</w:t>
      </w:r>
      <w:proofErr w:type="gramEnd"/>
      <w:r w:rsidRPr="000D373C">
        <w:rPr>
          <w:rFonts w:ascii="Calibri" w:eastAsia="Times New Roman" w:hAnsi="Calibri" w:cs="Calibri"/>
        </w:rPr>
        <w:t xml:space="preserve"> pour certains pistolets.</w:t>
      </w:r>
    </w:p>
    <w:p w:rsidR="000D373C" w:rsidRDefault="000D373C" w:rsidP="000D373C">
      <w:pPr>
        <w:spacing w:before="100" w:beforeAutospacing="1" w:after="100" w:afterAutospacing="1" w:line="240" w:lineRule="auto"/>
        <w:rPr>
          <w:rFonts w:ascii="Calibri" w:eastAsia="Times New Roman" w:hAnsi="Calibri" w:cs="Calibri"/>
        </w:rPr>
      </w:pPr>
      <w:r w:rsidRPr="000D373C">
        <w:rPr>
          <w:rFonts w:ascii="Calibri" w:eastAsia="Times New Roman" w:hAnsi="Calibri" w:cs="Calibri"/>
        </w:rPr>
        <w:t>Le point doit être jugé conforme car le document est présenté ? Ou non conforme car le résultat est non conforme ?</w:t>
      </w:r>
    </w:p>
    <w:p w:rsidR="00117029" w:rsidRPr="00117029" w:rsidRDefault="00117029" w:rsidP="000D373C">
      <w:pPr>
        <w:spacing w:before="100" w:beforeAutospacing="1" w:after="100" w:afterAutospacing="1" w:line="240" w:lineRule="auto"/>
        <w:rPr>
          <w:rFonts w:ascii="Times New Roman" w:eastAsia="Times New Roman" w:hAnsi="Times New Roman" w:cs="Times New Roman"/>
          <w:color w:val="0070C0"/>
          <w:sz w:val="24"/>
          <w:szCs w:val="24"/>
          <w:lang w:eastAsia="fr-FR"/>
        </w:rPr>
      </w:pPr>
      <w:r w:rsidRPr="00117029">
        <w:rPr>
          <w:rFonts w:ascii="Times New Roman" w:eastAsia="Times New Roman" w:hAnsi="Times New Roman" w:cs="Times New Roman"/>
          <w:color w:val="0070C0"/>
          <w:sz w:val="24"/>
          <w:szCs w:val="24"/>
          <w:lang w:eastAsia="fr-FR"/>
        </w:rPr>
        <w:t xml:space="preserve">BRIEC Fiche Q/R nécessaire pour validation </w:t>
      </w:r>
      <w:r w:rsidR="001640E6">
        <w:rPr>
          <w:rFonts w:ascii="Times New Roman" w:eastAsia="Times New Roman" w:hAnsi="Times New Roman" w:cs="Times New Roman"/>
          <w:color w:val="0070C0"/>
          <w:sz w:val="24"/>
          <w:szCs w:val="24"/>
          <w:lang w:eastAsia="fr-FR"/>
        </w:rPr>
        <w:t>formelle de la réponse.</w:t>
      </w:r>
    </w:p>
    <w:p w:rsidR="000D373C" w:rsidRPr="000D373C" w:rsidRDefault="000D373C"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b/>
          <w:bCs/>
          <w:u w:val="single"/>
        </w:rPr>
        <w:lastRenderedPageBreak/>
        <w:t>Rubrique 1414 </w:t>
      </w:r>
      <w:r w:rsidRPr="000D373C">
        <w:rPr>
          <w:rFonts w:ascii="Calibri" w:eastAsia="Times New Roman" w:hAnsi="Calibri" w:cs="Calibri"/>
          <w:b/>
          <w:bCs/>
        </w:rPr>
        <w:t>Concernant les installations de remplissage ou de distribution de gaz inflammables liquéfiés</w:t>
      </w:r>
      <w:r w:rsidRPr="000D373C">
        <w:rPr>
          <w:rFonts w:ascii="Calibri" w:eastAsia="Times New Roman" w:hAnsi="Calibri" w:cs="Calibri"/>
          <w:b/>
          <w:bCs/>
          <w:u w:val="single"/>
        </w:rPr>
        <w:t>:</w:t>
      </w:r>
    </w:p>
    <w:p w:rsidR="000D373C" w:rsidRPr="000D373C" w:rsidRDefault="000D373C"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b/>
          <w:bCs/>
        </w:rPr>
        <w:t>Point 2.1 Règles d’implantation</w:t>
      </w:r>
    </w:p>
    <w:p w:rsidR="000D373C" w:rsidRPr="000D373C" w:rsidRDefault="000D373C"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Calibri" w:eastAsia="Times New Roman" w:hAnsi="Calibri" w:cs="Calibri"/>
          <w:i/>
          <w:iCs/>
          <w:lang w:eastAsia="fr-FR"/>
        </w:rPr>
        <w:t>Respect des distances entre les parois des appareils de distribution et les parois des appareils de distribution d’hydrocarbures liquides, sinon vérifier la présence d’une cloison métallique séparant les appareils de distribution de gaz inflammable liquéfié et d’hydrocarbures liquides et vérifier que la distribution simultanée d’hydrocarbures liquides et de gaz inflammable liquéfié du même côté de l’îlot, tel que défini au point 2.12 de la présente annexe, n’est pas possible.</w:t>
      </w:r>
    </w:p>
    <w:p w:rsidR="000D373C" w:rsidRDefault="000D373C" w:rsidP="000D373C">
      <w:pPr>
        <w:spacing w:before="100" w:beforeAutospacing="1" w:after="100" w:afterAutospacing="1" w:line="240" w:lineRule="auto"/>
        <w:rPr>
          <w:rFonts w:ascii="Calibri" w:eastAsia="Times New Roman" w:hAnsi="Calibri" w:cs="Calibri"/>
        </w:rPr>
      </w:pPr>
      <w:r w:rsidRPr="000D373C">
        <w:rPr>
          <w:rFonts w:ascii="Calibri" w:eastAsia="Times New Roman" w:hAnsi="Calibri" w:cs="Calibri"/>
        </w:rPr>
        <w:t>Lorsque la distance n’est pas respectée, peux on faire l’essai de sollicitation simultanée nous même pour contrôler ce point ou faut-il une attestation de la société de maintenance ?</w:t>
      </w:r>
    </w:p>
    <w:p w:rsidR="000D373C" w:rsidRDefault="007A22FB" w:rsidP="000D373C">
      <w:pPr>
        <w:spacing w:before="100" w:beforeAutospacing="1" w:after="100" w:afterAutospacing="1" w:line="240" w:lineRule="auto"/>
        <w:rPr>
          <w:rFonts w:ascii="Times New Roman" w:eastAsia="Times New Roman" w:hAnsi="Times New Roman" w:cs="Times New Roman"/>
          <w:color w:val="0070C0"/>
          <w:sz w:val="24"/>
          <w:szCs w:val="24"/>
          <w:lang w:eastAsia="fr-FR"/>
        </w:rPr>
      </w:pPr>
      <w:r>
        <w:rPr>
          <w:rFonts w:ascii="Times New Roman" w:eastAsia="Times New Roman" w:hAnsi="Times New Roman" w:cs="Times New Roman"/>
          <w:color w:val="0070C0"/>
          <w:sz w:val="24"/>
          <w:szCs w:val="24"/>
          <w:lang w:eastAsia="fr-FR"/>
        </w:rPr>
        <w:t xml:space="preserve">Réponse BRIEC : </w:t>
      </w:r>
      <w:r w:rsidR="00117029" w:rsidRPr="00117029">
        <w:rPr>
          <w:rFonts w:ascii="Times New Roman" w:eastAsia="Times New Roman" w:hAnsi="Times New Roman" w:cs="Times New Roman"/>
          <w:color w:val="0070C0"/>
          <w:sz w:val="24"/>
          <w:szCs w:val="24"/>
          <w:lang w:eastAsia="fr-FR"/>
        </w:rPr>
        <w:t>Le point de contrôle prévoit une vérification. Cette opération doit donc être réalisée par l’exploitant sur simple demande de l’organisme de contrôle périodique.</w:t>
      </w:r>
    </w:p>
    <w:p w:rsidR="007A22FB" w:rsidRDefault="007A22FB" w:rsidP="007A22FB">
      <w:pPr>
        <w:rPr>
          <w:rFonts w:ascii="Times New Roman" w:eastAsia="Times New Roman" w:hAnsi="Times New Roman" w:cs="Times New Roman"/>
          <w:color w:val="0070C0"/>
          <w:sz w:val="24"/>
          <w:szCs w:val="24"/>
          <w:lang w:eastAsia="fr-FR"/>
        </w:rPr>
        <w:sectPr w:rsidR="007A22FB">
          <w:pgSz w:w="11906" w:h="16838"/>
          <w:pgMar w:top="1417" w:right="1417" w:bottom="1417" w:left="1417" w:header="708" w:footer="708" w:gutter="0"/>
          <w:cols w:space="708"/>
          <w:docGrid w:linePitch="360"/>
        </w:sectPr>
      </w:pPr>
      <w:r>
        <w:rPr>
          <w:rFonts w:ascii="Times New Roman" w:eastAsia="Times New Roman" w:hAnsi="Times New Roman" w:cs="Times New Roman"/>
          <w:color w:val="0070C0"/>
          <w:sz w:val="24"/>
          <w:szCs w:val="24"/>
          <w:lang w:eastAsia="fr-FR"/>
        </w:rPr>
        <w:br w:type="page"/>
      </w:r>
    </w:p>
    <w:p w:rsidR="007A22FB" w:rsidRPr="00117029" w:rsidRDefault="007A22FB" w:rsidP="007A22FB">
      <w:pPr>
        <w:rPr>
          <w:rFonts w:ascii="Times New Roman" w:eastAsia="Times New Roman" w:hAnsi="Times New Roman" w:cs="Times New Roman"/>
          <w:color w:val="0070C0"/>
          <w:sz w:val="24"/>
          <w:szCs w:val="24"/>
          <w:lang w:eastAsia="fr-FR"/>
        </w:rPr>
      </w:pPr>
    </w:p>
    <w:tbl>
      <w:tblPr>
        <w:tblW w:w="14449" w:type="dxa"/>
        <w:tblCellMar>
          <w:left w:w="0" w:type="dxa"/>
          <w:right w:w="0" w:type="dxa"/>
        </w:tblCellMar>
        <w:tblLook w:val="04A0" w:firstRow="1" w:lastRow="0" w:firstColumn="1" w:lastColumn="0" w:noHBand="0" w:noVBand="1"/>
      </w:tblPr>
      <w:tblGrid>
        <w:gridCol w:w="328"/>
        <w:gridCol w:w="2254"/>
        <w:gridCol w:w="3787"/>
        <w:gridCol w:w="3653"/>
        <w:gridCol w:w="14"/>
        <w:gridCol w:w="4413"/>
      </w:tblGrid>
      <w:tr w:rsidR="007A22FB" w:rsidRPr="000D373C" w:rsidTr="007A22FB">
        <w:tc>
          <w:tcPr>
            <w:tcW w:w="3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D373C">
              <w:rPr>
                <w:rFonts w:ascii="Arial" w:eastAsia="Times New Roman" w:hAnsi="Arial" w:cs="Arial"/>
                <w:sz w:val="20"/>
                <w:szCs w:val="20"/>
              </w:rPr>
              <w:t> </w:t>
            </w:r>
          </w:p>
        </w:tc>
        <w:tc>
          <w:tcPr>
            <w:tcW w:w="22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D373C">
              <w:rPr>
                <w:rFonts w:ascii="Arial" w:eastAsia="Times New Roman" w:hAnsi="Arial" w:cs="Arial"/>
                <w:sz w:val="20"/>
                <w:szCs w:val="20"/>
              </w:rPr>
              <w:t>Rubriques ICPE / Textes</w:t>
            </w:r>
          </w:p>
        </w:tc>
        <w:tc>
          <w:tcPr>
            <w:tcW w:w="378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D373C">
              <w:rPr>
                <w:rFonts w:ascii="Arial" w:eastAsia="Times New Roman" w:hAnsi="Arial" w:cs="Arial"/>
                <w:sz w:val="20"/>
                <w:szCs w:val="20"/>
              </w:rPr>
              <w:t>Articles / Situations</w:t>
            </w:r>
          </w:p>
        </w:tc>
        <w:tc>
          <w:tcPr>
            <w:tcW w:w="365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D373C">
              <w:rPr>
                <w:rFonts w:ascii="Arial" w:eastAsia="Times New Roman" w:hAnsi="Arial" w:cs="Arial"/>
                <w:sz w:val="20"/>
                <w:szCs w:val="20"/>
              </w:rPr>
              <w:t>Questions</w:t>
            </w:r>
          </w:p>
        </w:tc>
        <w:tc>
          <w:tcPr>
            <w:tcW w:w="4427" w:type="dxa"/>
            <w:gridSpan w:val="2"/>
            <w:tcBorders>
              <w:top w:val="single" w:sz="8" w:space="0" w:color="auto"/>
              <w:left w:val="nil"/>
              <w:bottom w:val="single" w:sz="8" w:space="0" w:color="auto"/>
              <w:right w:val="single" w:sz="8" w:space="0" w:color="auto"/>
            </w:tcBorders>
            <w:shd w:val="clear" w:color="auto" w:fill="BFBFBF"/>
          </w:tcPr>
          <w:p w:rsidR="007A22FB" w:rsidRPr="000D373C" w:rsidRDefault="007A22FB" w:rsidP="007A22FB">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Réponse BRIEC</w:t>
            </w:r>
          </w:p>
        </w:tc>
      </w:tr>
      <w:tr w:rsidR="007A22FB" w:rsidRPr="000D373C" w:rsidTr="007A22FB">
        <w:tc>
          <w:tcPr>
            <w:tcW w:w="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1</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4718</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t>Arrêté du 23 août 2005</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A</w:t>
            </w:r>
            <w:r w:rsidRPr="000D373C">
              <w:rPr>
                <w:rFonts w:ascii="Arial" w:eastAsia="Times New Roman" w:hAnsi="Arial" w:cs="Arial"/>
                <w:sz w:val="20"/>
                <w:szCs w:val="20"/>
                <w:lang w:eastAsia="fr-FR"/>
              </w:rPr>
              <w:t>rticle L513-1 du code de l’environnement</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Décret 2014-285 du 03/03/14</w:t>
            </w:r>
          </w:p>
        </w:tc>
        <w:tc>
          <w:tcPr>
            <w:tcW w:w="3787"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Lors de CP ICPE sur la rubrique 4718 (stockage GPL), TSG met des non-conformités aux sites qui nous présentent un récépissé 1412 sans autre preuve de prise en compte de l’antériorité par l’administration.</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 </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Un de ces exploitants conteste ces non-conformités car selon lui, la demande d’antériorité 4718 n’est pas à faire car l’arrêté est le même (que la 1412 de l’époque), donc demande d’antériorité inutile.</w:t>
            </w:r>
          </w:p>
        </w:tc>
        <w:tc>
          <w:tcPr>
            <w:tcW w:w="3653"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Avons-nous raison de mettre des non-conformités ?</w:t>
            </w:r>
          </w:p>
          <w:p w:rsidR="007A22FB" w:rsidRPr="000D373C" w:rsidRDefault="007A22FB" w:rsidP="000D373C">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Quels justificatifs devons-nous accepter en tant qu’organisme de contrôle pour que le point « présence du récépissé de déclaration ou de la preuve de dépôt » soit conforme ?</w:t>
            </w:r>
          </w:p>
          <w:p w:rsidR="007A22FB" w:rsidRPr="000D373C" w:rsidRDefault="007A22FB" w:rsidP="000D373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D373C">
              <w:rPr>
                <w:rFonts w:ascii="Arial" w:eastAsia="Times New Roman" w:hAnsi="Arial" w:cs="Arial"/>
                <w:sz w:val="20"/>
                <w:szCs w:val="20"/>
              </w:rPr>
              <w:t> </w:t>
            </w:r>
          </w:p>
        </w:tc>
        <w:tc>
          <w:tcPr>
            <w:tcW w:w="4427" w:type="dxa"/>
            <w:gridSpan w:val="2"/>
            <w:tcBorders>
              <w:top w:val="nil"/>
              <w:left w:val="nil"/>
              <w:bottom w:val="single" w:sz="8" w:space="0" w:color="auto"/>
              <w:right w:val="single" w:sz="8" w:space="0" w:color="auto"/>
            </w:tcBorders>
          </w:tcPr>
          <w:p w:rsidR="007A22FB" w:rsidRPr="007A22FB" w:rsidRDefault="007A22FB" w:rsidP="007A22FB">
            <w:pPr>
              <w:autoSpaceDE w:val="0"/>
              <w:autoSpaceDN w:val="0"/>
              <w:spacing w:before="100" w:beforeAutospacing="1" w:after="100" w:afterAutospacing="1" w:line="240" w:lineRule="auto"/>
              <w:rPr>
                <w:color w:val="0070C0"/>
              </w:rPr>
            </w:pPr>
            <w:r w:rsidRPr="007A22FB">
              <w:rPr>
                <w:rFonts w:ascii="Arial" w:eastAsia="Times New Roman" w:hAnsi="Arial" w:cs="Arial"/>
                <w:color w:val="0070C0"/>
                <w:sz w:val="20"/>
                <w:szCs w:val="20"/>
              </w:rPr>
              <w:t>L’article L. 513-1 du code de l’environnement indique qu’une installation peut continuer de fonctionner à la condition « l</w:t>
            </w:r>
            <w:r w:rsidRPr="007A22FB">
              <w:rPr>
                <w:color w:val="0070C0"/>
              </w:rPr>
              <w:t>'exploitant se soit déjà fait connaître du préfet ou se fasse connaître de lui dans l'année suivant l'entrée en vigueur du décret. ».</w:t>
            </w:r>
          </w:p>
          <w:p w:rsidR="007A22FB" w:rsidRPr="007A22FB" w:rsidRDefault="007A22FB" w:rsidP="007A22FB">
            <w:pPr>
              <w:autoSpaceDE w:val="0"/>
              <w:autoSpaceDN w:val="0"/>
              <w:spacing w:before="100" w:beforeAutospacing="1" w:after="100" w:afterAutospacing="1" w:line="240" w:lineRule="auto"/>
              <w:rPr>
                <w:rFonts w:ascii="Arial" w:eastAsia="Times New Roman" w:hAnsi="Arial" w:cs="Arial"/>
                <w:color w:val="0070C0"/>
                <w:sz w:val="20"/>
                <w:szCs w:val="20"/>
              </w:rPr>
            </w:pPr>
            <w:r w:rsidRPr="007A22FB">
              <w:rPr>
                <w:color w:val="0070C0"/>
              </w:rPr>
              <w:t>Le fait que l’exploitant dispose d’un récépissé de déclaration au titre de la rubrique 1412 est de nature à répondre à cette obligation, dans la mesure où il est déjà connu du préfet.</w:t>
            </w:r>
          </w:p>
        </w:tc>
      </w:tr>
      <w:tr w:rsidR="007A22FB" w:rsidRPr="000D373C" w:rsidTr="007A22FB">
        <w:tc>
          <w:tcPr>
            <w:tcW w:w="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2</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 xml:space="preserve">1435    </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Times New Roman" w:eastAsia="Times New Roman" w:hAnsi="Times New Roman" w:cs="Times New Roman"/>
                <w:sz w:val="20"/>
                <w:szCs w:val="20"/>
                <w:lang w:eastAsia="fr-FR"/>
              </w:rPr>
              <w:t> </w:t>
            </w:r>
          </w:p>
        </w:tc>
        <w:tc>
          <w:tcPr>
            <w:tcW w:w="3787"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2.4.1. Cas des installations sous immeuble habité ou occupé par des tiers</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 </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Les installations implantées sous immeuble habité ou occupé par des tiers sont équipées d'un détecteur automatique d'incendie avec asservissement de la commande d'arrêt de distribution, du déclenchement des alarmes ainsi que du déclenchement du dispositif d'extinction automatique (ce n’est pas un CP ICPE).</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Times New Roman" w:eastAsia="Times New Roman" w:hAnsi="Times New Roman" w:cs="Times New Roman"/>
                <w:sz w:val="20"/>
                <w:szCs w:val="20"/>
                <w:lang w:eastAsia="fr-FR"/>
              </w:rPr>
              <w:t> </w:t>
            </w:r>
          </w:p>
        </w:tc>
        <w:tc>
          <w:tcPr>
            <w:tcW w:w="3653"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Est-ce valable pour la distribution uniquement ou aussi pour les stockages ?</w:t>
            </w:r>
          </w:p>
        </w:tc>
        <w:tc>
          <w:tcPr>
            <w:tcW w:w="4427" w:type="dxa"/>
            <w:gridSpan w:val="2"/>
            <w:tcBorders>
              <w:top w:val="nil"/>
              <w:left w:val="nil"/>
              <w:bottom w:val="single" w:sz="8" w:space="0" w:color="auto"/>
              <w:right w:val="single" w:sz="8" w:space="0" w:color="auto"/>
            </w:tcBorders>
          </w:tcPr>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rPr>
            </w:pPr>
            <w:r w:rsidRPr="007A22FB">
              <w:rPr>
                <w:rFonts w:ascii="Arial" w:eastAsia="Times New Roman" w:hAnsi="Arial" w:cs="Arial"/>
                <w:color w:val="0070C0"/>
                <w:sz w:val="20"/>
                <w:szCs w:val="20"/>
              </w:rPr>
              <w:t xml:space="preserve">Cette disposition s’applique à toutes les installations susceptibles d’être à l’origine d’un incendie au sein d’une </w:t>
            </w:r>
            <w:proofErr w:type="spellStart"/>
            <w:r w:rsidRPr="007A22FB">
              <w:rPr>
                <w:rFonts w:ascii="Arial" w:eastAsia="Times New Roman" w:hAnsi="Arial" w:cs="Arial"/>
                <w:color w:val="0070C0"/>
                <w:sz w:val="20"/>
                <w:szCs w:val="20"/>
              </w:rPr>
              <w:t>station service</w:t>
            </w:r>
            <w:proofErr w:type="spellEnd"/>
            <w:r w:rsidRPr="007A22FB">
              <w:rPr>
                <w:rFonts w:ascii="Arial" w:eastAsia="Times New Roman" w:hAnsi="Arial" w:cs="Arial"/>
                <w:color w:val="0070C0"/>
                <w:sz w:val="20"/>
                <w:szCs w:val="20"/>
              </w:rPr>
              <w:t> : ilots de distributions, bouches de dépotages, stockages sauf si stockages enterrés, ….</w:t>
            </w:r>
          </w:p>
        </w:tc>
      </w:tr>
      <w:tr w:rsidR="007A22FB" w:rsidRPr="000D373C" w:rsidTr="007A22FB">
        <w:tc>
          <w:tcPr>
            <w:tcW w:w="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lastRenderedPageBreak/>
              <w:t>3</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4734</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Arrêté du 20 avril 2005</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Arrêté du 22 décembre 2008</w:t>
            </w:r>
          </w:p>
        </w:tc>
        <w:tc>
          <w:tcPr>
            <w:tcW w:w="3787"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La rubrique 4734 en déclaration a deux arrêtés applicables :</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Wingdings" w:eastAsia="Times New Roman" w:hAnsi="Wingdings" w:cs="Times New Roman"/>
                <w:sz w:val="24"/>
                <w:szCs w:val="24"/>
              </w:rPr>
              <w:t></w:t>
            </w:r>
            <w:r w:rsidRPr="000D373C">
              <w:rPr>
                <w:rFonts w:ascii="Arial" w:eastAsia="Times New Roman" w:hAnsi="Arial" w:cs="Arial"/>
                <w:sz w:val="24"/>
                <w:szCs w:val="24"/>
              </w:rPr>
              <w:t xml:space="preserve"> </w:t>
            </w:r>
            <w:r w:rsidRPr="000D373C">
              <w:rPr>
                <w:rFonts w:ascii="Arial" w:eastAsia="Times New Roman" w:hAnsi="Arial" w:cs="Arial"/>
                <w:sz w:val="20"/>
                <w:szCs w:val="20"/>
              </w:rPr>
              <w:t xml:space="preserve">L'Arrêté du 20 avril 2005 relatif aux prescriptions générales applicables aux installations classées soumises à déclaration sous l’une ou plusieurs des rubriques nos 1436, 4330, 4331, 4722, </w:t>
            </w:r>
            <w:r w:rsidRPr="000D373C">
              <w:rPr>
                <w:rFonts w:ascii="Arial" w:eastAsia="Times New Roman" w:hAnsi="Arial" w:cs="Arial"/>
                <w:sz w:val="20"/>
                <w:szCs w:val="20"/>
                <w:highlight w:val="yellow"/>
              </w:rPr>
              <w:t>4734</w:t>
            </w:r>
            <w:r w:rsidRPr="000D373C">
              <w:rPr>
                <w:rFonts w:ascii="Arial" w:eastAsia="Times New Roman" w:hAnsi="Arial" w:cs="Arial"/>
                <w:sz w:val="20"/>
                <w:szCs w:val="20"/>
              </w:rPr>
              <w:t>, 4742, 4743, 4744, 4746, 4747 ou 4748, ou pour le pétrole brut sous l’une ou plusieurs des rubriques nos 4510 ou 4511, et</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Wingdings" w:eastAsia="Times New Roman" w:hAnsi="Wingdings" w:cs="Times New Roman"/>
                <w:sz w:val="24"/>
                <w:szCs w:val="24"/>
              </w:rPr>
              <w:t></w:t>
            </w:r>
            <w:r w:rsidRPr="000D373C">
              <w:rPr>
                <w:rFonts w:ascii="Arial" w:eastAsia="Times New Roman" w:hAnsi="Arial" w:cs="Arial"/>
                <w:sz w:val="20"/>
                <w:szCs w:val="20"/>
              </w:rPr>
              <w:t xml:space="preserve"> l'arrêté du 22 décembre 2008 relatif aux prescriptions générales applicables aux installations classées soumises à déclaration sous l’une ou plusieurs des rubriques nos 1436, 4330, 4331, 4722, </w:t>
            </w:r>
            <w:r w:rsidRPr="000D373C">
              <w:rPr>
                <w:rFonts w:ascii="Arial" w:eastAsia="Times New Roman" w:hAnsi="Arial" w:cs="Arial"/>
                <w:sz w:val="20"/>
                <w:szCs w:val="20"/>
                <w:highlight w:val="yellow"/>
              </w:rPr>
              <w:t>4734</w:t>
            </w:r>
            <w:r w:rsidRPr="000D373C">
              <w:rPr>
                <w:rFonts w:ascii="Arial" w:eastAsia="Times New Roman" w:hAnsi="Arial" w:cs="Arial"/>
                <w:sz w:val="20"/>
                <w:szCs w:val="20"/>
              </w:rPr>
              <w:t>, 4742, 4743, 4744, 4746, 4747 ou 4748, ou pour le pétrole brut sous l’une ou plusieurs des rubriques nos 4510 ou 4511.</w:t>
            </w:r>
          </w:p>
        </w:tc>
        <w:tc>
          <w:tcPr>
            <w:tcW w:w="3653"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Quels différences entre les deux ?</w:t>
            </w:r>
          </w:p>
        </w:tc>
        <w:tc>
          <w:tcPr>
            <w:tcW w:w="4427" w:type="dxa"/>
            <w:gridSpan w:val="2"/>
            <w:tcBorders>
              <w:top w:val="nil"/>
              <w:left w:val="nil"/>
              <w:bottom w:val="single" w:sz="8" w:space="0" w:color="auto"/>
              <w:right w:val="single" w:sz="8" w:space="0" w:color="auto"/>
            </w:tcBorders>
          </w:tcPr>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rPr>
            </w:pPr>
            <w:r w:rsidRPr="007A22FB">
              <w:rPr>
                <w:rFonts w:ascii="Arial" w:eastAsia="Times New Roman" w:hAnsi="Arial" w:cs="Arial"/>
                <w:color w:val="0070C0"/>
                <w:sz w:val="20"/>
                <w:szCs w:val="20"/>
              </w:rPr>
              <w:t>La différence est explicitée dans les champs d’application des deux arrêtés.</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rPr>
            </w:pPr>
            <w:r w:rsidRPr="007A22FB">
              <w:rPr>
                <w:rFonts w:ascii="Arial" w:eastAsia="Times New Roman" w:hAnsi="Arial" w:cs="Arial"/>
                <w:color w:val="0070C0"/>
                <w:sz w:val="20"/>
                <w:szCs w:val="20"/>
              </w:rPr>
              <w:t>L’arrêté de 2005 concerne les installations de mélange ou d’emploi (ex 1433).</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rPr>
            </w:pPr>
            <w:r w:rsidRPr="007A22FB">
              <w:rPr>
                <w:rFonts w:ascii="Arial" w:eastAsia="Times New Roman" w:hAnsi="Arial" w:cs="Arial"/>
                <w:color w:val="0070C0"/>
                <w:sz w:val="20"/>
                <w:szCs w:val="20"/>
              </w:rPr>
              <w:t>L’arrêté de 2008 concerne uniquement les stockages.</w:t>
            </w:r>
          </w:p>
        </w:tc>
      </w:tr>
      <w:tr w:rsidR="007A22FB" w:rsidRPr="000D373C" w:rsidTr="007A22FB">
        <w:tc>
          <w:tcPr>
            <w:tcW w:w="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4</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1413 et 4718</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Arrêté du 07 janvier 2003</w:t>
            </w:r>
          </w:p>
        </w:tc>
        <w:tc>
          <w:tcPr>
            <w:tcW w:w="3787"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t>4.2. Moyens de secours contre l’incendie</w:t>
            </w:r>
          </w:p>
          <w:p w:rsidR="007A22FB" w:rsidRPr="000D373C" w:rsidRDefault="007A22FB" w:rsidP="000D373C">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t> </w:t>
            </w:r>
          </w:p>
          <w:p w:rsidR="007A22FB" w:rsidRPr="000D373C" w:rsidRDefault="007A22FB" w:rsidP="000D373C">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t xml:space="preserve">Pour les installations de distribution, les moyens de lutte contre l’incendie prescrits dans les paragraphes précédents peuvent être remplacés </w:t>
            </w:r>
            <w:r w:rsidRPr="000D373C">
              <w:rPr>
                <w:rFonts w:ascii="Arial" w:eastAsia="Times New Roman" w:hAnsi="Arial" w:cs="Arial"/>
                <w:sz w:val="20"/>
                <w:szCs w:val="20"/>
                <w:highlight w:val="yellow"/>
                <w:lang w:eastAsia="fr-FR"/>
              </w:rPr>
              <w:t>par des dispositifs automatiques d’extinction pour les installations de distribution de liquides inflammables</w:t>
            </w:r>
            <w:r w:rsidRPr="000D373C">
              <w:rPr>
                <w:rFonts w:ascii="Arial" w:eastAsia="Times New Roman" w:hAnsi="Arial" w:cs="Arial"/>
                <w:sz w:val="20"/>
                <w:szCs w:val="20"/>
                <w:lang w:eastAsia="fr-FR"/>
              </w:rPr>
              <w:t xml:space="preserve"> et </w:t>
            </w:r>
            <w:r w:rsidRPr="000D373C">
              <w:rPr>
                <w:rFonts w:ascii="Arial" w:eastAsia="Times New Roman" w:hAnsi="Arial" w:cs="Arial"/>
                <w:sz w:val="20"/>
                <w:szCs w:val="20"/>
                <w:highlight w:val="green"/>
                <w:lang w:eastAsia="fr-FR"/>
              </w:rPr>
              <w:t xml:space="preserve">par des dispositifs automatiques de fermeture des vannes d’alimentation en gaz pour les installations de distribution de gaz </w:t>
            </w:r>
            <w:r w:rsidRPr="000D373C">
              <w:rPr>
                <w:rFonts w:ascii="Arial" w:eastAsia="Times New Roman" w:hAnsi="Arial" w:cs="Arial"/>
                <w:sz w:val="20"/>
                <w:szCs w:val="20"/>
                <w:highlight w:val="green"/>
                <w:lang w:eastAsia="fr-FR"/>
              </w:rPr>
              <w:lastRenderedPageBreak/>
              <w:t>naturel et de biogaz</w:t>
            </w:r>
            <w:r w:rsidRPr="000D373C">
              <w:rPr>
                <w:rFonts w:ascii="Arial" w:eastAsia="Times New Roman" w:hAnsi="Arial" w:cs="Arial"/>
                <w:sz w:val="20"/>
                <w:szCs w:val="20"/>
                <w:lang w:eastAsia="fr-FR"/>
              </w:rPr>
              <w:t>, présentant une efficacité au moins équivalente. </w:t>
            </w:r>
          </w:p>
          <w:p w:rsidR="007A22FB" w:rsidRPr="000D373C" w:rsidRDefault="007A22FB" w:rsidP="000D373C">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t>Ce type de dispositifs est obligatoire pour les installations fonctionnant en libre-service sans surveillance.</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 </w:t>
            </w:r>
          </w:p>
        </w:tc>
        <w:tc>
          <w:tcPr>
            <w:tcW w:w="3653"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lastRenderedPageBreak/>
              <w:t xml:space="preserve">Pour les installations fonctionnant en libre-service sans surveillance, </w:t>
            </w:r>
            <w:r w:rsidRPr="000D373C">
              <w:rPr>
                <w:rFonts w:ascii="Arial" w:eastAsia="Times New Roman" w:hAnsi="Arial" w:cs="Arial"/>
                <w:sz w:val="20"/>
                <w:szCs w:val="20"/>
                <w:highlight w:val="yellow"/>
                <w:lang w:eastAsia="fr-FR"/>
              </w:rPr>
              <w:t>les dispositifs automatiques d’extinction</w:t>
            </w:r>
            <w:r w:rsidRPr="000D373C">
              <w:rPr>
                <w:rFonts w:ascii="Arial" w:eastAsia="Times New Roman" w:hAnsi="Arial" w:cs="Arial"/>
                <w:sz w:val="20"/>
                <w:szCs w:val="20"/>
                <w:lang w:eastAsia="fr-FR"/>
              </w:rPr>
              <w:t xml:space="preserve"> sont-ils à positionner au niveau de la distribution d’hydrocarbures qui pourrait se tenir à proximité de la distribution GNC ou également sur l’îlot de distribution de GNC ?</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t>Quelle protection incendie mettre en place pour de la distribution GNC à la place (c’est-à-dire lorsque les véhicules chargent toute la nuit sans surveillance) sur site non ouvert au public ?</w:t>
            </w:r>
          </w:p>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lastRenderedPageBreak/>
              <w:t>Quelle protection incendie mettre en place pour de la distribution GNC sur station ouverte au public ?</w:t>
            </w:r>
          </w:p>
        </w:tc>
        <w:tc>
          <w:tcPr>
            <w:tcW w:w="4427" w:type="dxa"/>
            <w:gridSpan w:val="2"/>
            <w:tcBorders>
              <w:top w:val="nil"/>
              <w:left w:val="nil"/>
              <w:bottom w:val="single" w:sz="8" w:space="0" w:color="auto"/>
              <w:right w:val="single" w:sz="8" w:space="0" w:color="auto"/>
            </w:tcBorders>
          </w:tcPr>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r w:rsidRPr="007A22FB">
              <w:rPr>
                <w:rFonts w:ascii="Arial" w:eastAsia="Times New Roman" w:hAnsi="Arial" w:cs="Arial"/>
                <w:color w:val="0070C0"/>
                <w:sz w:val="20"/>
                <w:szCs w:val="20"/>
                <w:lang w:eastAsia="fr-FR"/>
              </w:rPr>
              <w:lastRenderedPageBreak/>
              <w:t>La disposition du point 4.2 distingue le cas des installations de distribution de LI et de distribution de gaz.</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r w:rsidRPr="007A22FB">
              <w:rPr>
                <w:rFonts w:ascii="Arial" w:eastAsia="Times New Roman" w:hAnsi="Arial" w:cs="Arial"/>
                <w:color w:val="0070C0"/>
                <w:sz w:val="20"/>
                <w:szCs w:val="20"/>
                <w:lang w:eastAsia="fr-FR"/>
              </w:rPr>
              <w:t>L’extinction automatique n’est exigible uniquement pour les installations de liquides inflammables.</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r w:rsidRPr="007A22FB">
              <w:rPr>
                <w:rFonts w:ascii="Arial" w:eastAsia="Times New Roman" w:hAnsi="Arial" w:cs="Arial"/>
                <w:color w:val="0070C0"/>
                <w:sz w:val="20"/>
                <w:szCs w:val="20"/>
                <w:lang w:eastAsia="fr-FR"/>
              </w:rPr>
              <w:t xml:space="preserve">Pour les installations de distribution de gaz, le moyen équivalent </w:t>
            </w:r>
            <w:proofErr w:type="gramStart"/>
            <w:r w:rsidRPr="007A22FB">
              <w:rPr>
                <w:rFonts w:ascii="Arial" w:eastAsia="Times New Roman" w:hAnsi="Arial" w:cs="Arial"/>
                <w:color w:val="0070C0"/>
                <w:sz w:val="20"/>
                <w:szCs w:val="20"/>
                <w:lang w:eastAsia="fr-FR"/>
              </w:rPr>
              <w:t>sont</w:t>
            </w:r>
            <w:proofErr w:type="gramEnd"/>
            <w:r w:rsidRPr="007A22FB">
              <w:rPr>
                <w:rFonts w:ascii="Arial" w:eastAsia="Times New Roman" w:hAnsi="Arial" w:cs="Arial"/>
                <w:color w:val="0070C0"/>
                <w:sz w:val="20"/>
                <w:szCs w:val="20"/>
                <w:lang w:eastAsia="fr-FR"/>
              </w:rPr>
              <w:t xml:space="preserve"> les dispositifs automatique de fermeture de vannes d’alimentation.</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r w:rsidRPr="007A22FB">
              <w:rPr>
                <w:rFonts w:ascii="Arial" w:eastAsia="Times New Roman" w:hAnsi="Arial" w:cs="Arial"/>
                <w:color w:val="0070C0"/>
                <w:sz w:val="20"/>
                <w:szCs w:val="20"/>
                <w:lang w:eastAsia="fr-FR"/>
              </w:rPr>
              <w:t xml:space="preserve">A noter que ce dispositif vient en remplacement des moyens de lutte contre l’incendie prévues par </w:t>
            </w:r>
            <w:r w:rsidRPr="007A22FB">
              <w:rPr>
                <w:rFonts w:ascii="Arial" w:eastAsia="Times New Roman" w:hAnsi="Arial" w:cs="Arial"/>
                <w:color w:val="0070C0"/>
                <w:sz w:val="20"/>
                <w:szCs w:val="20"/>
                <w:lang w:eastAsia="fr-FR"/>
              </w:rPr>
              <w:lastRenderedPageBreak/>
              <w:t>le paragraphe précédent, qui sont uniquement des extincteurs.</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r w:rsidRPr="007A22FB">
              <w:rPr>
                <w:rFonts w:ascii="Arial" w:eastAsia="Times New Roman" w:hAnsi="Arial" w:cs="Arial"/>
                <w:color w:val="0070C0"/>
                <w:sz w:val="20"/>
                <w:szCs w:val="20"/>
                <w:lang w:eastAsia="fr-FR"/>
              </w:rPr>
              <w:t>La disposition ne fait pas de distinction sur les stations sont ouvertes ou non au public.</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r w:rsidRPr="007A22FB">
              <w:rPr>
                <w:rFonts w:ascii="Arial" w:eastAsia="Times New Roman" w:hAnsi="Arial" w:cs="Arial"/>
                <w:color w:val="0070C0"/>
                <w:sz w:val="20"/>
                <w:szCs w:val="20"/>
                <w:lang w:eastAsia="fr-FR"/>
              </w:rPr>
              <w:t>Cette réponse ne préjuge pas les dispositions applicables par les autres arrêtés ministériels, dans le cas d’installations classées au titre de plusieurs rubriques.</w:t>
            </w:r>
          </w:p>
        </w:tc>
      </w:tr>
      <w:tr w:rsidR="007A22FB" w:rsidRPr="000D373C" w:rsidTr="007A22FB">
        <w:tc>
          <w:tcPr>
            <w:tcW w:w="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lastRenderedPageBreak/>
              <w:t>5</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rPr>
              <w:t>4718, 1413 et 4310</w:t>
            </w:r>
          </w:p>
        </w:tc>
        <w:tc>
          <w:tcPr>
            <w:tcW w:w="3787"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t>Certains exploitants ont des installations de stockage GNC déclarées en 4310 et nous demande des CP ICPE.</w:t>
            </w:r>
          </w:p>
        </w:tc>
        <w:tc>
          <w:tcPr>
            <w:tcW w:w="3653" w:type="dxa"/>
            <w:tcBorders>
              <w:top w:val="nil"/>
              <w:left w:val="nil"/>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r w:rsidRPr="000D373C">
              <w:rPr>
                <w:rFonts w:ascii="Arial" w:eastAsia="Times New Roman" w:hAnsi="Arial" w:cs="Arial"/>
                <w:sz w:val="20"/>
                <w:szCs w:val="20"/>
                <w:lang w:eastAsia="fr-FR"/>
              </w:rPr>
              <w:t>Notre interprétation est que le stockage GNC a pu par le passé être classé en 4310 mais cela n’est plus possible aujourd’hui. Selon les quantités stockées, soit une installation est classée en 1413-2 soit en 4718-2. Est-ce bien cela ?</w:t>
            </w:r>
          </w:p>
        </w:tc>
        <w:tc>
          <w:tcPr>
            <w:tcW w:w="4427" w:type="dxa"/>
            <w:gridSpan w:val="2"/>
            <w:tcBorders>
              <w:top w:val="nil"/>
              <w:left w:val="nil"/>
              <w:bottom w:val="single" w:sz="8" w:space="0" w:color="auto"/>
              <w:right w:val="single" w:sz="8" w:space="0" w:color="auto"/>
            </w:tcBorders>
          </w:tcPr>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r w:rsidRPr="007A22FB">
              <w:rPr>
                <w:rFonts w:ascii="Arial" w:eastAsia="Times New Roman" w:hAnsi="Arial" w:cs="Arial"/>
                <w:color w:val="0070C0"/>
                <w:sz w:val="20"/>
                <w:szCs w:val="20"/>
                <w:lang w:eastAsia="fr-FR"/>
              </w:rPr>
              <w:t>Le GNC ne relève pas de la rubrique 4310.</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r w:rsidRPr="007A22FB">
              <w:rPr>
                <w:rFonts w:ascii="Arial" w:eastAsia="Times New Roman" w:hAnsi="Arial" w:cs="Arial"/>
                <w:color w:val="0070C0"/>
                <w:sz w:val="20"/>
                <w:szCs w:val="20"/>
                <w:lang w:eastAsia="fr-FR"/>
              </w:rPr>
              <w:t>Il relève effectivement de la rubrique 4718, et pour les installations de remplissage, de la rubrique 1413-3.</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r w:rsidRPr="007A22FB">
              <w:rPr>
                <w:rFonts w:ascii="Arial" w:eastAsia="Times New Roman" w:hAnsi="Arial" w:cs="Arial"/>
                <w:color w:val="0070C0"/>
                <w:sz w:val="20"/>
                <w:szCs w:val="20"/>
                <w:lang w:eastAsia="fr-FR"/>
              </w:rPr>
              <w:t>En fonction des quantités, ces installations sont donc à classer 1413-2 et / ou 4718.</w:t>
            </w:r>
          </w:p>
          <w:p w:rsidR="007A22FB" w:rsidRPr="007A22FB" w:rsidRDefault="007A22FB" w:rsidP="000D373C">
            <w:pPr>
              <w:spacing w:before="100" w:beforeAutospacing="1" w:after="100" w:afterAutospacing="1" w:line="240" w:lineRule="auto"/>
              <w:rPr>
                <w:rFonts w:ascii="Arial" w:eastAsia="Times New Roman" w:hAnsi="Arial" w:cs="Arial"/>
                <w:color w:val="0070C0"/>
                <w:sz w:val="20"/>
                <w:szCs w:val="20"/>
                <w:lang w:eastAsia="fr-FR"/>
              </w:rPr>
            </w:pPr>
          </w:p>
        </w:tc>
      </w:tr>
      <w:tr w:rsidR="007A22FB" w:rsidRPr="000D373C" w:rsidTr="007A22FB">
        <w:tc>
          <w:tcPr>
            <w:tcW w:w="1003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2FB" w:rsidRPr="000D373C" w:rsidRDefault="007A22FB" w:rsidP="000D373C">
            <w:pPr>
              <w:spacing w:before="100" w:beforeAutospacing="1" w:after="100" w:afterAutospacing="1" w:line="240" w:lineRule="auto"/>
              <w:rPr>
                <w:rFonts w:ascii="Times New Roman" w:eastAsia="Times New Roman" w:hAnsi="Times New Roman" w:cs="Times New Roman"/>
                <w:sz w:val="24"/>
                <w:szCs w:val="24"/>
                <w:lang w:eastAsia="fr-FR"/>
              </w:rPr>
            </w:pPr>
          </w:p>
          <w:p w:rsidR="007A22FB" w:rsidRPr="000D373C" w:rsidRDefault="007A22FB" w:rsidP="000D373C">
            <w:pPr>
              <w:spacing w:before="100" w:beforeAutospacing="1" w:after="100" w:afterAutospacing="1" w:line="240" w:lineRule="auto"/>
              <w:rPr>
                <w:rFonts w:ascii="Times New Roman" w:eastAsia="Times New Roman" w:hAnsi="Times New Roman" w:cs="Times New Roman"/>
                <w:b/>
                <w:sz w:val="24"/>
                <w:szCs w:val="24"/>
                <w:lang w:eastAsia="fr-FR"/>
              </w:rPr>
            </w:pPr>
            <w:r w:rsidRPr="000D373C">
              <w:rPr>
                <w:rFonts w:ascii="Arial" w:eastAsia="Times New Roman" w:hAnsi="Arial" w:cs="Arial"/>
                <w:b/>
                <w:sz w:val="20"/>
                <w:szCs w:val="20"/>
                <w:lang w:eastAsia="fr-FR"/>
              </w:rPr>
              <w:t>Renforcement de la réglementaire sur le stockage des liquides inflammables et combustibles  à venir ? sur quelles rubriques ?</w:t>
            </w:r>
          </w:p>
        </w:tc>
        <w:tc>
          <w:tcPr>
            <w:tcW w:w="4413" w:type="dxa"/>
            <w:tcBorders>
              <w:top w:val="nil"/>
              <w:left w:val="single" w:sz="8" w:space="0" w:color="auto"/>
              <w:bottom w:val="single" w:sz="8" w:space="0" w:color="auto"/>
              <w:right w:val="single" w:sz="8" w:space="0" w:color="auto"/>
            </w:tcBorders>
          </w:tcPr>
          <w:p w:rsidR="007A22FB" w:rsidRPr="007A22FB" w:rsidRDefault="007A22FB" w:rsidP="000D373C">
            <w:pPr>
              <w:spacing w:before="100" w:beforeAutospacing="1" w:after="100" w:afterAutospacing="1" w:line="240" w:lineRule="auto"/>
              <w:rPr>
                <w:rFonts w:ascii="Times New Roman" w:eastAsia="Times New Roman" w:hAnsi="Times New Roman" w:cs="Times New Roman"/>
                <w:color w:val="0070C0"/>
                <w:sz w:val="24"/>
                <w:szCs w:val="24"/>
                <w:lang w:eastAsia="fr-FR"/>
              </w:rPr>
            </w:pPr>
            <w:proofErr w:type="spellStart"/>
            <w:r w:rsidRPr="007A22FB">
              <w:rPr>
                <w:rFonts w:ascii="Times New Roman" w:eastAsia="Times New Roman" w:hAnsi="Times New Roman" w:cs="Times New Roman"/>
                <w:color w:val="0070C0"/>
                <w:sz w:val="24"/>
                <w:szCs w:val="24"/>
                <w:lang w:eastAsia="fr-FR"/>
              </w:rPr>
              <w:t>Cf</w:t>
            </w:r>
            <w:proofErr w:type="spellEnd"/>
            <w:r w:rsidRPr="007A22FB">
              <w:rPr>
                <w:rFonts w:ascii="Times New Roman" w:eastAsia="Times New Roman" w:hAnsi="Times New Roman" w:cs="Times New Roman"/>
                <w:color w:val="0070C0"/>
                <w:sz w:val="24"/>
                <w:szCs w:val="24"/>
                <w:lang w:eastAsia="fr-FR"/>
              </w:rPr>
              <w:t xml:space="preserve"> arrêtés du 24 septembre 2020, et projets de modification des arrêtés liquides inflammables E et D à venir (consultation prévue en juin 2020).</w:t>
            </w:r>
          </w:p>
        </w:tc>
      </w:tr>
    </w:tbl>
    <w:p w:rsidR="000D373C" w:rsidRDefault="000D373C"/>
    <w:sectPr w:rsidR="000D373C" w:rsidSect="007A22F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186F"/>
    <w:multiLevelType w:val="multilevel"/>
    <w:tmpl w:val="0F7EC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8D7E31"/>
    <w:multiLevelType w:val="multilevel"/>
    <w:tmpl w:val="D700A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623EF0"/>
    <w:multiLevelType w:val="multilevel"/>
    <w:tmpl w:val="8C728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B53FE6"/>
    <w:multiLevelType w:val="multilevel"/>
    <w:tmpl w:val="2C369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3C"/>
    <w:rsid w:val="000C7F10"/>
    <w:rsid w:val="000D373C"/>
    <w:rsid w:val="00117029"/>
    <w:rsid w:val="001640E6"/>
    <w:rsid w:val="003D384F"/>
    <w:rsid w:val="005913AB"/>
    <w:rsid w:val="005A13F0"/>
    <w:rsid w:val="007A22FB"/>
    <w:rsid w:val="00F11F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C29AB-A3C8-4DB9-B3FE-626D7592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7A22FB"/>
    <w:pPr>
      <w:spacing w:before="100" w:beforeAutospacing="1" w:after="0" w:line="240" w:lineRule="auto"/>
      <w:jc w:val="both"/>
    </w:pPr>
    <w:rPr>
      <w:rFonts w:ascii="Arial" w:eastAsia="Times New Roman" w:hAnsi="Arial" w:cs="Arial"/>
      <w:i/>
      <w:iCs/>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6210">
      <w:bodyDiv w:val="1"/>
      <w:marLeft w:val="0"/>
      <w:marRight w:val="0"/>
      <w:marTop w:val="0"/>
      <w:marBottom w:val="0"/>
      <w:divBdr>
        <w:top w:val="none" w:sz="0" w:space="0" w:color="auto"/>
        <w:left w:val="none" w:sz="0" w:space="0" w:color="auto"/>
        <w:bottom w:val="none" w:sz="0" w:space="0" w:color="auto"/>
        <w:right w:val="none" w:sz="0" w:space="0" w:color="auto"/>
      </w:divBdr>
    </w:div>
    <w:div w:id="19217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7530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MOUSSET Eric</dc:creator>
  <cp:keywords/>
  <dc:description/>
  <cp:lastModifiedBy>MOUSSET Eric</cp:lastModifiedBy>
  <cp:revision>2</cp:revision>
  <dcterms:created xsi:type="dcterms:W3CDTF">2021-05-27T09:57:00Z</dcterms:created>
  <dcterms:modified xsi:type="dcterms:W3CDTF">2021-05-27T09:57:00Z</dcterms:modified>
</cp:coreProperties>
</file>